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jc w:val="left"/>
        <w:rPr>
          <w:rFonts w:ascii="黑体" w:hAnsi="黑体" w:eastAsia="黑体" w:cs="黑体"/>
          <w:b/>
          <w:bCs/>
          <w:kern w:val="0"/>
          <w:sz w:val="28"/>
          <w:szCs w:val="28"/>
        </w:rPr>
      </w:pPr>
      <w:r>
        <w:rPr>
          <w:rFonts w:hint="eastAsia" w:ascii="黑体" w:hAnsi="黑体" w:eastAsia="黑体" w:cs="黑体"/>
          <w:b/>
          <w:bCs/>
          <w:kern w:val="0"/>
          <w:sz w:val="28"/>
          <w:szCs w:val="28"/>
        </w:rPr>
        <w:t>发售稿</w:t>
      </w:r>
    </w:p>
    <w:p>
      <w:pPr>
        <w:widowControl/>
        <w:spacing w:before="75" w:after="75"/>
        <w:jc w:val="center"/>
        <w:rPr>
          <w:rFonts w:ascii="黑体" w:hAnsi="黑体" w:eastAsia="黑体" w:cs="黑体"/>
          <w:kern w:val="0"/>
          <w:sz w:val="24"/>
          <w:szCs w:val="24"/>
        </w:rPr>
      </w:pPr>
      <w:r>
        <w:rPr>
          <w:rFonts w:hint="eastAsia" w:ascii="黑体" w:hAnsi="黑体" w:eastAsia="黑体" w:cs="黑体"/>
          <w:b/>
          <w:bCs/>
          <w:kern w:val="0"/>
          <w:sz w:val="72"/>
        </w:rPr>
        <w:t>货物和服务项目</w:t>
      </w:r>
    </w:p>
    <w:p>
      <w:pPr>
        <w:widowControl/>
        <w:spacing w:before="75" w:after="75"/>
        <w:jc w:val="center"/>
        <w:rPr>
          <w:rFonts w:ascii="黑体" w:hAnsi="黑体" w:eastAsia="黑体" w:cs="黑体"/>
          <w:kern w:val="0"/>
          <w:sz w:val="24"/>
          <w:szCs w:val="24"/>
        </w:rPr>
      </w:pPr>
      <w:r>
        <w:rPr>
          <w:rFonts w:hint="eastAsia" w:ascii="黑体" w:hAnsi="黑体" w:eastAsia="黑体" w:cs="黑体"/>
          <w:b/>
          <w:bCs/>
          <w:kern w:val="0"/>
          <w:sz w:val="72"/>
        </w:rPr>
        <w:t>公开招标文件</w:t>
      </w:r>
    </w:p>
    <w:p>
      <w:pPr>
        <w:widowControl/>
        <w:spacing w:before="75" w:after="75"/>
        <w:jc w:val="center"/>
        <w:rPr>
          <w:rFonts w:ascii="黑体" w:hAnsi="黑体" w:eastAsia="黑体" w:cs="黑体"/>
          <w:kern w:val="0"/>
          <w:sz w:val="24"/>
          <w:szCs w:val="24"/>
        </w:rPr>
      </w:pPr>
    </w:p>
    <w:p>
      <w:pPr>
        <w:widowControl/>
        <w:spacing w:before="75" w:after="75"/>
        <w:jc w:val="left"/>
        <w:rPr>
          <w:rFonts w:ascii="黑体" w:hAnsi="黑体" w:eastAsia="黑体" w:cs="黑体"/>
          <w:kern w:val="0"/>
          <w:sz w:val="24"/>
          <w:szCs w:val="24"/>
        </w:rPr>
      </w:pPr>
    </w:p>
    <w:p>
      <w:pPr>
        <w:widowControl/>
        <w:spacing w:before="75" w:after="75"/>
        <w:jc w:val="left"/>
        <w:rPr>
          <w:rFonts w:ascii="黑体" w:hAnsi="黑体" w:eastAsia="黑体" w:cs="黑体"/>
          <w:kern w:val="0"/>
          <w:sz w:val="24"/>
          <w:szCs w:val="24"/>
        </w:rPr>
      </w:pPr>
    </w:p>
    <w:p>
      <w:pPr>
        <w:widowControl/>
        <w:spacing w:before="75" w:after="75"/>
        <w:jc w:val="left"/>
        <w:rPr>
          <w:rFonts w:ascii="黑体" w:hAnsi="黑体" w:eastAsia="黑体" w:cs="黑体"/>
          <w:kern w:val="0"/>
          <w:sz w:val="24"/>
          <w:szCs w:val="24"/>
        </w:rPr>
      </w:pPr>
    </w:p>
    <w:p>
      <w:pPr>
        <w:widowControl/>
        <w:spacing w:before="75" w:after="75"/>
        <w:ind w:firstLine="1205" w:firstLineChars="400"/>
        <w:jc w:val="left"/>
        <w:rPr>
          <w:rFonts w:ascii="黑体" w:hAnsi="黑体" w:eastAsia="黑体" w:cs="黑体"/>
          <w:b/>
          <w:bCs/>
          <w:kern w:val="0"/>
          <w:sz w:val="30"/>
        </w:rPr>
      </w:pPr>
      <w:r>
        <w:rPr>
          <w:rFonts w:hint="eastAsia" w:ascii="黑体" w:hAnsi="黑体" w:eastAsia="黑体" w:cs="黑体"/>
          <w:b/>
          <w:bCs/>
          <w:kern w:val="0"/>
          <w:sz w:val="30"/>
        </w:rPr>
        <w:t>项目名称：石狮服装城监控系统及消防控制中心</w:t>
      </w:r>
    </w:p>
    <w:p>
      <w:pPr>
        <w:widowControl/>
        <w:spacing w:before="75" w:after="75"/>
        <w:ind w:left="61" w:leftChars="29" w:firstLine="1506" w:firstLineChars="500"/>
        <w:jc w:val="left"/>
        <w:rPr>
          <w:rFonts w:ascii="黑体" w:hAnsi="黑体" w:eastAsia="黑体" w:cs="黑体"/>
          <w:kern w:val="0"/>
          <w:sz w:val="24"/>
          <w:szCs w:val="24"/>
        </w:rPr>
      </w:pPr>
      <w:r>
        <w:rPr>
          <w:rFonts w:hint="eastAsia" w:ascii="黑体" w:hAnsi="黑体" w:eastAsia="黑体" w:cs="黑体"/>
          <w:b/>
          <w:bCs/>
          <w:kern w:val="0"/>
          <w:sz w:val="30"/>
        </w:rPr>
        <w:t>系统改造项目</w:t>
      </w:r>
    </w:p>
    <w:p>
      <w:pPr>
        <w:widowControl/>
        <w:spacing w:before="75" w:after="75"/>
        <w:ind w:firstLine="1205" w:firstLineChars="400"/>
        <w:jc w:val="left"/>
        <w:rPr>
          <w:rFonts w:hint="default" w:ascii="黑体" w:hAnsi="黑体" w:eastAsia="黑体" w:cs="黑体"/>
          <w:kern w:val="0"/>
          <w:sz w:val="24"/>
          <w:szCs w:val="24"/>
          <w:lang w:val="en-US" w:eastAsia="zh-CN"/>
        </w:rPr>
      </w:pPr>
      <w:r>
        <w:rPr>
          <w:rFonts w:hint="eastAsia" w:ascii="黑体" w:hAnsi="黑体" w:eastAsia="黑体" w:cs="黑体"/>
          <w:b/>
          <w:bCs/>
          <w:kern w:val="0"/>
          <w:sz w:val="30"/>
        </w:rPr>
        <w:t>招标编号：XMWS2021Q001</w:t>
      </w:r>
      <w:r>
        <w:rPr>
          <w:rFonts w:hint="eastAsia" w:ascii="黑体" w:hAnsi="黑体" w:eastAsia="黑体" w:cs="黑体"/>
          <w:b/>
          <w:bCs/>
          <w:kern w:val="0"/>
          <w:sz w:val="30"/>
          <w:lang w:val="en-US" w:eastAsia="zh-CN"/>
        </w:rPr>
        <w:t>(1)</w:t>
      </w:r>
    </w:p>
    <w:p>
      <w:pPr>
        <w:widowControl/>
        <w:spacing w:before="75" w:after="75"/>
        <w:jc w:val="left"/>
        <w:rPr>
          <w:rFonts w:ascii="黑体" w:hAnsi="黑体" w:eastAsia="黑体" w:cs="黑体"/>
          <w:kern w:val="0"/>
          <w:sz w:val="24"/>
          <w:szCs w:val="24"/>
        </w:rPr>
      </w:pPr>
    </w:p>
    <w:p>
      <w:pPr>
        <w:widowControl/>
        <w:spacing w:before="75" w:after="75"/>
        <w:jc w:val="left"/>
        <w:rPr>
          <w:rFonts w:ascii="黑体" w:hAnsi="黑体" w:eastAsia="黑体" w:cs="黑体"/>
          <w:kern w:val="0"/>
          <w:sz w:val="24"/>
          <w:szCs w:val="24"/>
        </w:rPr>
      </w:pPr>
    </w:p>
    <w:p>
      <w:pPr>
        <w:widowControl/>
        <w:spacing w:before="75" w:after="75"/>
        <w:jc w:val="left"/>
        <w:rPr>
          <w:rFonts w:ascii="黑体" w:hAnsi="黑体" w:eastAsia="黑体" w:cs="黑体"/>
          <w:kern w:val="0"/>
          <w:sz w:val="24"/>
          <w:szCs w:val="24"/>
        </w:rPr>
      </w:pPr>
    </w:p>
    <w:p>
      <w:pPr>
        <w:widowControl/>
        <w:spacing w:before="75" w:after="75"/>
        <w:jc w:val="left"/>
        <w:rPr>
          <w:rFonts w:ascii="黑体" w:hAnsi="黑体" w:eastAsia="黑体" w:cs="黑体"/>
          <w:kern w:val="0"/>
          <w:sz w:val="24"/>
          <w:szCs w:val="24"/>
        </w:rPr>
      </w:pPr>
    </w:p>
    <w:p>
      <w:pPr>
        <w:widowControl/>
        <w:spacing w:before="75" w:after="75"/>
        <w:jc w:val="left"/>
        <w:rPr>
          <w:rFonts w:ascii="黑体" w:hAnsi="黑体" w:eastAsia="黑体" w:cs="黑体"/>
          <w:kern w:val="0"/>
          <w:sz w:val="24"/>
          <w:szCs w:val="24"/>
        </w:rPr>
      </w:pPr>
    </w:p>
    <w:p>
      <w:pPr>
        <w:widowControl/>
        <w:spacing w:before="75" w:after="75"/>
        <w:jc w:val="left"/>
        <w:rPr>
          <w:rFonts w:ascii="黑体" w:hAnsi="黑体" w:eastAsia="黑体" w:cs="黑体"/>
          <w:kern w:val="0"/>
          <w:sz w:val="24"/>
          <w:szCs w:val="24"/>
        </w:rPr>
      </w:pPr>
    </w:p>
    <w:p>
      <w:pPr>
        <w:pStyle w:val="2"/>
        <w:rPr>
          <w:rFonts w:ascii="黑体" w:hAnsi="黑体" w:eastAsia="黑体" w:cs="黑体"/>
          <w:kern w:val="0"/>
          <w:sz w:val="24"/>
          <w:szCs w:val="24"/>
        </w:rPr>
      </w:pPr>
    </w:p>
    <w:p>
      <w:pPr>
        <w:pStyle w:val="2"/>
        <w:rPr>
          <w:rFonts w:ascii="黑体" w:hAnsi="黑体" w:eastAsia="黑体" w:cs="黑体"/>
          <w:kern w:val="0"/>
          <w:sz w:val="24"/>
          <w:szCs w:val="24"/>
        </w:rPr>
      </w:pPr>
    </w:p>
    <w:p>
      <w:pPr>
        <w:pStyle w:val="2"/>
        <w:rPr>
          <w:rFonts w:ascii="黑体" w:hAnsi="黑体" w:eastAsia="黑体" w:cs="黑体"/>
          <w:kern w:val="0"/>
          <w:sz w:val="24"/>
          <w:szCs w:val="24"/>
        </w:rPr>
      </w:pPr>
    </w:p>
    <w:p>
      <w:pPr>
        <w:widowControl/>
        <w:spacing w:before="75" w:after="75"/>
        <w:jc w:val="left"/>
        <w:rPr>
          <w:rFonts w:ascii="黑体" w:hAnsi="黑体" w:eastAsia="黑体" w:cs="黑体"/>
          <w:kern w:val="0"/>
          <w:sz w:val="24"/>
          <w:szCs w:val="24"/>
        </w:rPr>
      </w:pPr>
    </w:p>
    <w:p>
      <w:pPr>
        <w:widowControl/>
        <w:spacing w:before="75" w:after="75"/>
        <w:ind w:firstLine="1355" w:firstLineChars="500"/>
        <w:rPr>
          <w:rFonts w:ascii="黑体" w:hAnsi="黑体" w:eastAsia="黑体" w:cs="黑体"/>
          <w:b/>
          <w:bCs/>
          <w:kern w:val="0"/>
          <w:sz w:val="29"/>
        </w:rPr>
      </w:pPr>
      <w:r>
        <w:rPr>
          <w:rFonts w:hint="eastAsia" w:ascii="黑体" w:hAnsi="黑体" w:eastAsia="黑体" w:cs="黑体"/>
          <w:b/>
          <w:bCs/>
          <w:kern w:val="0"/>
          <w:sz w:val="27"/>
        </w:rPr>
        <w:t>采购人：</w:t>
      </w:r>
      <w:r>
        <w:rPr>
          <w:rFonts w:hint="eastAsia" w:ascii="黑体" w:hAnsi="黑体" w:eastAsia="黑体" w:cs="黑体"/>
          <w:b/>
          <w:bCs/>
          <w:kern w:val="0"/>
          <w:sz w:val="29"/>
        </w:rPr>
        <w:t>福建省石狮服装轻纺名城运营有限公司</w:t>
      </w:r>
    </w:p>
    <w:p>
      <w:pPr>
        <w:widowControl/>
        <w:spacing w:before="75" w:after="75"/>
        <w:ind w:firstLine="1456" w:firstLineChars="500"/>
        <w:rPr>
          <w:rFonts w:ascii="黑体" w:hAnsi="黑体" w:eastAsia="黑体" w:cs="黑体"/>
          <w:kern w:val="0"/>
          <w:sz w:val="24"/>
          <w:szCs w:val="24"/>
        </w:rPr>
      </w:pPr>
      <w:r>
        <w:rPr>
          <w:rFonts w:hint="eastAsia" w:ascii="黑体" w:hAnsi="黑体" w:eastAsia="黑体" w:cs="黑体"/>
          <w:b/>
          <w:bCs/>
          <w:kern w:val="0"/>
          <w:sz w:val="29"/>
        </w:rPr>
        <w:t>代理机构：厦门市务实采购有限公司</w:t>
      </w:r>
    </w:p>
    <w:p>
      <w:pPr>
        <w:widowControl/>
        <w:spacing w:before="75" w:after="75" w:line="360" w:lineRule="atLeast"/>
        <w:ind w:right="720"/>
        <w:jc w:val="center"/>
        <w:rPr>
          <w:rFonts w:ascii="黑体" w:hAnsi="黑体" w:eastAsia="黑体" w:cs="黑体"/>
          <w:b/>
          <w:bCs/>
          <w:kern w:val="0"/>
          <w:sz w:val="29"/>
        </w:rPr>
      </w:pPr>
      <w:r>
        <w:rPr>
          <w:rFonts w:hint="eastAsia" w:ascii="黑体" w:hAnsi="黑体" w:eastAsia="黑体" w:cs="黑体"/>
          <w:b/>
          <w:bCs/>
          <w:color w:val="000000" w:themeColor="text1"/>
          <w:kern w:val="0"/>
          <w:sz w:val="29"/>
          <w:lang w:eastAsia="zh-CN"/>
        </w:rPr>
        <w:t>（</w:t>
      </w:r>
      <w:r>
        <w:rPr>
          <w:rFonts w:hint="eastAsia" w:ascii="黑体" w:hAnsi="黑体" w:eastAsia="黑体" w:cs="黑体"/>
          <w:b/>
          <w:bCs/>
          <w:color w:val="000000" w:themeColor="text1"/>
          <w:kern w:val="0"/>
          <w:sz w:val="29"/>
        </w:rPr>
        <w:t>2021年</w:t>
      </w:r>
      <w:r>
        <w:rPr>
          <w:rFonts w:hint="eastAsia" w:ascii="黑体" w:hAnsi="黑体" w:eastAsia="黑体" w:cs="黑体"/>
          <w:b/>
          <w:bCs/>
          <w:color w:val="000000" w:themeColor="text1"/>
          <w:kern w:val="0"/>
          <w:sz w:val="29"/>
          <w:lang w:val="en-US" w:eastAsia="zh-CN"/>
        </w:rPr>
        <w:t>3</w:t>
      </w:r>
      <w:r>
        <w:rPr>
          <w:rFonts w:hint="eastAsia" w:ascii="黑体" w:hAnsi="黑体" w:eastAsia="黑体" w:cs="黑体"/>
          <w:b/>
          <w:bCs/>
          <w:color w:val="000000" w:themeColor="text1"/>
          <w:kern w:val="0"/>
          <w:sz w:val="29"/>
        </w:rPr>
        <w:t>月</w:t>
      </w:r>
      <w:r>
        <w:rPr>
          <w:rFonts w:hint="eastAsia" w:ascii="黑体" w:hAnsi="黑体" w:eastAsia="黑体" w:cs="黑体"/>
          <w:b/>
          <w:bCs/>
          <w:color w:val="000000" w:themeColor="text1"/>
          <w:kern w:val="0"/>
          <w:sz w:val="29"/>
          <w:lang w:val="en-US" w:eastAsia="zh-CN"/>
        </w:rPr>
        <w:t>1</w:t>
      </w:r>
      <w:r>
        <w:rPr>
          <w:rFonts w:hint="eastAsia" w:ascii="黑体" w:hAnsi="黑体" w:eastAsia="黑体" w:cs="黑体"/>
          <w:b/>
          <w:bCs/>
          <w:color w:val="000000" w:themeColor="text1"/>
          <w:kern w:val="0"/>
          <w:sz w:val="29"/>
        </w:rPr>
        <w:t>5日</w:t>
      </w:r>
      <w:r>
        <w:rPr>
          <w:rFonts w:hint="eastAsia" w:ascii="黑体" w:hAnsi="黑体" w:eastAsia="黑体" w:cs="黑体"/>
          <w:b/>
          <w:bCs/>
          <w:color w:val="000000" w:themeColor="text1"/>
          <w:kern w:val="0"/>
          <w:sz w:val="29"/>
          <w:lang w:eastAsia="zh-CN"/>
        </w:rPr>
        <w:t>修改）</w:t>
      </w:r>
      <w:r>
        <w:br w:type="page"/>
      </w:r>
    </w:p>
    <w:sdt>
      <w:sdtPr>
        <w:rPr>
          <w:rFonts w:ascii="宋体" w:hAnsi="宋体" w:eastAsia="宋体"/>
        </w:rPr>
        <w:id w:val="147476353"/>
        <w:docPartObj>
          <w:docPartGallery w:val="Table of Contents"/>
          <w:docPartUnique/>
        </w:docPartObj>
      </w:sdtPr>
      <w:sdtEndPr>
        <w:rPr>
          <w:rFonts w:hint="eastAsia" w:ascii="宋体" w:hAnsi="宋体" w:cs="宋体" w:eastAsiaTheme="minorEastAsia"/>
        </w:rPr>
      </w:sdtEndPr>
      <w:sdtContent>
        <w:p>
          <w:pPr>
            <w:widowControl/>
            <w:spacing w:before="75" w:after="75" w:line="360" w:lineRule="atLeast"/>
            <w:ind w:right="720"/>
            <w:jc w:val="center"/>
            <w:rPr>
              <w:b/>
              <w:bCs/>
              <w:sz w:val="28"/>
              <w:szCs w:val="28"/>
            </w:rPr>
          </w:pPr>
          <w:r>
            <w:rPr>
              <w:rFonts w:ascii="宋体" w:hAnsi="宋体" w:eastAsia="宋体"/>
              <w:b/>
              <w:bCs/>
              <w:sz w:val="28"/>
              <w:szCs w:val="28"/>
            </w:rPr>
            <w:t>目录</w:t>
          </w:r>
        </w:p>
        <w:p>
          <w:pPr>
            <w:pStyle w:val="13"/>
            <w:tabs>
              <w:tab w:val="right" w:leader="dot" w:pos="8306"/>
            </w:tabs>
            <w:rPr>
              <w:b w:val="0"/>
              <w:bCs/>
              <w:sz w:val="21"/>
              <w:szCs w:val="21"/>
            </w:rPr>
          </w:pPr>
          <w:r>
            <w:rPr>
              <w:rFonts w:hint="eastAsia" w:cs="宋体"/>
              <w:b w:val="0"/>
              <w:bCs/>
              <w:sz w:val="21"/>
              <w:szCs w:val="21"/>
            </w:rPr>
            <w:fldChar w:fldCharType="begin"/>
          </w:r>
          <w:r>
            <w:rPr>
              <w:rFonts w:hint="eastAsia" w:cs="宋体"/>
              <w:b w:val="0"/>
              <w:bCs/>
              <w:sz w:val="21"/>
              <w:szCs w:val="21"/>
            </w:rPr>
            <w:instrText xml:space="preserve">TOC \o "1-1" \h \u </w:instrText>
          </w:r>
          <w:r>
            <w:rPr>
              <w:rFonts w:hint="eastAsia" w:cs="宋体"/>
              <w:b w:val="0"/>
              <w:bCs/>
              <w:sz w:val="21"/>
              <w:szCs w:val="21"/>
            </w:rPr>
            <w:fldChar w:fldCharType="separate"/>
          </w:r>
          <w:r>
            <w:fldChar w:fldCharType="begin"/>
          </w:r>
          <w:r>
            <w:instrText xml:space="preserve"> HYPERLINK \l "_Toc4181" </w:instrText>
          </w:r>
          <w:r>
            <w:fldChar w:fldCharType="separate"/>
          </w:r>
          <w:r>
            <w:rPr>
              <w:rFonts w:eastAsia="宋体" w:cs="宋体"/>
              <w:b w:val="0"/>
              <w:bCs/>
              <w:kern w:val="0"/>
              <w:sz w:val="21"/>
              <w:szCs w:val="21"/>
            </w:rPr>
            <w:t>第一章   投标邀请</w:t>
          </w:r>
          <w:r>
            <w:rPr>
              <w:b w:val="0"/>
              <w:bCs/>
              <w:sz w:val="21"/>
              <w:szCs w:val="21"/>
            </w:rPr>
            <w:tab/>
          </w:r>
          <w:r>
            <w:rPr>
              <w:b w:val="0"/>
              <w:bCs/>
              <w:sz w:val="21"/>
              <w:szCs w:val="21"/>
            </w:rPr>
            <w:fldChar w:fldCharType="begin"/>
          </w:r>
          <w:r>
            <w:rPr>
              <w:b w:val="0"/>
              <w:bCs/>
              <w:sz w:val="21"/>
              <w:szCs w:val="21"/>
            </w:rPr>
            <w:instrText xml:space="preserve"> PAGEREF _Toc4181 </w:instrText>
          </w:r>
          <w:r>
            <w:rPr>
              <w:b w:val="0"/>
              <w:bCs/>
              <w:sz w:val="21"/>
              <w:szCs w:val="21"/>
            </w:rPr>
            <w:fldChar w:fldCharType="separate"/>
          </w:r>
          <w:r>
            <w:rPr>
              <w:b w:val="0"/>
              <w:bCs/>
              <w:sz w:val="21"/>
              <w:szCs w:val="21"/>
            </w:rPr>
            <w:t>3</w:t>
          </w:r>
          <w:r>
            <w:rPr>
              <w:b w:val="0"/>
              <w:bCs/>
              <w:sz w:val="21"/>
              <w:szCs w:val="21"/>
            </w:rPr>
            <w:fldChar w:fldCharType="end"/>
          </w:r>
          <w:r>
            <w:rPr>
              <w:b w:val="0"/>
              <w:bCs/>
              <w:sz w:val="21"/>
              <w:szCs w:val="21"/>
            </w:rPr>
            <w:fldChar w:fldCharType="end"/>
          </w:r>
        </w:p>
        <w:p>
          <w:pPr>
            <w:pStyle w:val="13"/>
            <w:tabs>
              <w:tab w:val="right" w:leader="dot" w:pos="8306"/>
            </w:tabs>
            <w:rPr>
              <w:b w:val="0"/>
              <w:bCs/>
              <w:sz w:val="21"/>
              <w:szCs w:val="21"/>
            </w:rPr>
          </w:pPr>
          <w:r>
            <w:fldChar w:fldCharType="begin"/>
          </w:r>
          <w:r>
            <w:instrText xml:space="preserve"> HYPERLINK \l "_Toc27209" </w:instrText>
          </w:r>
          <w:r>
            <w:fldChar w:fldCharType="separate"/>
          </w:r>
          <w:r>
            <w:rPr>
              <w:rFonts w:eastAsia="宋体" w:cs="宋体"/>
              <w:b w:val="0"/>
              <w:bCs/>
              <w:kern w:val="0"/>
              <w:sz w:val="21"/>
              <w:szCs w:val="21"/>
            </w:rPr>
            <w:t>第二章   投标人须知前附表（表1、</w:t>
          </w:r>
          <w:r>
            <w:rPr>
              <w:rFonts w:ascii="Times New Roman" w:hAnsi="Times New Roman" w:eastAsia="宋体" w:cs="Times New Roman"/>
              <w:b w:val="0"/>
              <w:bCs/>
              <w:kern w:val="0"/>
              <w:sz w:val="21"/>
              <w:szCs w:val="21"/>
            </w:rPr>
            <w:t>2</w:t>
          </w:r>
          <w:r>
            <w:rPr>
              <w:rFonts w:eastAsia="宋体" w:cs="宋体"/>
              <w:b w:val="0"/>
              <w:bCs/>
              <w:kern w:val="0"/>
              <w:sz w:val="21"/>
              <w:szCs w:val="21"/>
            </w:rPr>
            <w:t>） </w:t>
          </w:r>
          <w:r>
            <w:rPr>
              <w:b w:val="0"/>
              <w:bCs/>
              <w:sz w:val="21"/>
              <w:szCs w:val="21"/>
            </w:rPr>
            <w:tab/>
          </w:r>
          <w:r>
            <w:rPr>
              <w:b w:val="0"/>
              <w:bCs/>
              <w:sz w:val="21"/>
              <w:szCs w:val="21"/>
            </w:rPr>
            <w:fldChar w:fldCharType="begin"/>
          </w:r>
          <w:r>
            <w:rPr>
              <w:b w:val="0"/>
              <w:bCs/>
              <w:sz w:val="21"/>
              <w:szCs w:val="21"/>
            </w:rPr>
            <w:instrText xml:space="preserve"> PAGEREF _Toc27209 </w:instrText>
          </w:r>
          <w:r>
            <w:rPr>
              <w:b w:val="0"/>
              <w:bCs/>
              <w:sz w:val="21"/>
              <w:szCs w:val="21"/>
            </w:rPr>
            <w:fldChar w:fldCharType="separate"/>
          </w:r>
          <w:r>
            <w:rPr>
              <w:b w:val="0"/>
              <w:bCs/>
              <w:sz w:val="21"/>
              <w:szCs w:val="21"/>
            </w:rPr>
            <w:t>5</w:t>
          </w:r>
          <w:r>
            <w:rPr>
              <w:b w:val="0"/>
              <w:bCs/>
              <w:sz w:val="21"/>
              <w:szCs w:val="21"/>
            </w:rPr>
            <w:fldChar w:fldCharType="end"/>
          </w:r>
          <w:r>
            <w:rPr>
              <w:b w:val="0"/>
              <w:bCs/>
              <w:sz w:val="21"/>
              <w:szCs w:val="21"/>
            </w:rPr>
            <w:fldChar w:fldCharType="end"/>
          </w:r>
        </w:p>
        <w:p>
          <w:pPr>
            <w:pStyle w:val="13"/>
            <w:tabs>
              <w:tab w:val="right" w:leader="dot" w:pos="8306"/>
            </w:tabs>
            <w:rPr>
              <w:b w:val="0"/>
              <w:bCs/>
              <w:sz w:val="21"/>
              <w:szCs w:val="21"/>
            </w:rPr>
          </w:pPr>
          <w:r>
            <w:fldChar w:fldCharType="begin"/>
          </w:r>
          <w:r>
            <w:instrText xml:space="preserve"> HYPERLINK \l "_Toc26443" </w:instrText>
          </w:r>
          <w:r>
            <w:fldChar w:fldCharType="separate"/>
          </w:r>
          <w:r>
            <w:rPr>
              <w:rFonts w:eastAsia="宋体" w:cs="宋体"/>
              <w:b w:val="0"/>
              <w:bCs/>
              <w:kern w:val="0"/>
              <w:sz w:val="21"/>
              <w:szCs w:val="21"/>
            </w:rPr>
            <w:t>第三章   投标人须知</w:t>
          </w:r>
          <w:r>
            <w:rPr>
              <w:b w:val="0"/>
              <w:bCs/>
              <w:sz w:val="21"/>
              <w:szCs w:val="21"/>
            </w:rPr>
            <w:tab/>
          </w:r>
          <w:r>
            <w:rPr>
              <w:b w:val="0"/>
              <w:bCs/>
              <w:sz w:val="21"/>
              <w:szCs w:val="21"/>
            </w:rPr>
            <w:fldChar w:fldCharType="begin"/>
          </w:r>
          <w:r>
            <w:rPr>
              <w:b w:val="0"/>
              <w:bCs/>
              <w:sz w:val="21"/>
              <w:szCs w:val="21"/>
            </w:rPr>
            <w:instrText xml:space="preserve"> PAGEREF _Toc26443 </w:instrText>
          </w:r>
          <w:r>
            <w:rPr>
              <w:b w:val="0"/>
              <w:bCs/>
              <w:sz w:val="21"/>
              <w:szCs w:val="21"/>
            </w:rPr>
            <w:fldChar w:fldCharType="separate"/>
          </w:r>
          <w:r>
            <w:rPr>
              <w:b w:val="0"/>
              <w:bCs/>
              <w:sz w:val="21"/>
              <w:szCs w:val="21"/>
            </w:rPr>
            <w:t>7</w:t>
          </w:r>
          <w:r>
            <w:rPr>
              <w:b w:val="0"/>
              <w:bCs/>
              <w:sz w:val="21"/>
              <w:szCs w:val="21"/>
            </w:rPr>
            <w:fldChar w:fldCharType="end"/>
          </w:r>
          <w:r>
            <w:rPr>
              <w:b w:val="0"/>
              <w:bCs/>
              <w:sz w:val="21"/>
              <w:szCs w:val="21"/>
            </w:rPr>
            <w:fldChar w:fldCharType="end"/>
          </w:r>
        </w:p>
        <w:p>
          <w:pPr>
            <w:pStyle w:val="13"/>
            <w:tabs>
              <w:tab w:val="right" w:leader="dot" w:pos="8306"/>
            </w:tabs>
            <w:rPr>
              <w:b w:val="0"/>
              <w:bCs/>
              <w:sz w:val="21"/>
              <w:szCs w:val="21"/>
            </w:rPr>
          </w:pPr>
          <w:r>
            <w:fldChar w:fldCharType="begin"/>
          </w:r>
          <w:r>
            <w:instrText xml:space="preserve"> HYPERLINK \l "_Toc5655" </w:instrText>
          </w:r>
          <w:r>
            <w:fldChar w:fldCharType="separate"/>
          </w:r>
          <w:r>
            <w:rPr>
              <w:rFonts w:eastAsia="宋体" w:cs="宋体"/>
              <w:b w:val="0"/>
              <w:bCs/>
              <w:kern w:val="0"/>
              <w:sz w:val="21"/>
              <w:szCs w:val="21"/>
            </w:rPr>
            <w:t>第四章   资格审查与评标</w:t>
          </w:r>
          <w:r>
            <w:rPr>
              <w:b w:val="0"/>
              <w:bCs/>
              <w:sz w:val="21"/>
              <w:szCs w:val="21"/>
            </w:rPr>
            <w:tab/>
          </w:r>
          <w:r>
            <w:rPr>
              <w:b w:val="0"/>
              <w:bCs/>
              <w:sz w:val="21"/>
              <w:szCs w:val="21"/>
            </w:rPr>
            <w:fldChar w:fldCharType="begin"/>
          </w:r>
          <w:r>
            <w:rPr>
              <w:b w:val="0"/>
              <w:bCs/>
              <w:sz w:val="21"/>
              <w:szCs w:val="21"/>
            </w:rPr>
            <w:instrText xml:space="preserve"> PAGEREF _Toc5655 </w:instrText>
          </w:r>
          <w:r>
            <w:rPr>
              <w:b w:val="0"/>
              <w:bCs/>
              <w:sz w:val="21"/>
              <w:szCs w:val="21"/>
            </w:rPr>
            <w:fldChar w:fldCharType="separate"/>
          </w:r>
          <w:r>
            <w:rPr>
              <w:b w:val="0"/>
              <w:bCs/>
              <w:sz w:val="21"/>
              <w:szCs w:val="21"/>
            </w:rPr>
            <w:t>19</w:t>
          </w:r>
          <w:r>
            <w:rPr>
              <w:b w:val="0"/>
              <w:bCs/>
              <w:sz w:val="21"/>
              <w:szCs w:val="21"/>
            </w:rPr>
            <w:fldChar w:fldCharType="end"/>
          </w:r>
          <w:r>
            <w:rPr>
              <w:b w:val="0"/>
              <w:bCs/>
              <w:sz w:val="21"/>
              <w:szCs w:val="21"/>
            </w:rPr>
            <w:fldChar w:fldCharType="end"/>
          </w:r>
        </w:p>
        <w:p>
          <w:pPr>
            <w:pStyle w:val="13"/>
            <w:tabs>
              <w:tab w:val="right" w:leader="dot" w:pos="8306"/>
            </w:tabs>
            <w:rPr>
              <w:b w:val="0"/>
              <w:bCs/>
              <w:sz w:val="21"/>
              <w:szCs w:val="21"/>
            </w:rPr>
          </w:pPr>
          <w:r>
            <w:fldChar w:fldCharType="begin"/>
          </w:r>
          <w:r>
            <w:instrText xml:space="preserve"> HYPERLINK \l "_Toc1258" </w:instrText>
          </w:r>
          <w:r>
            <w:fldChar w:fldCharType="separate"/>
          </w:r>
          <w:r>
            <w:rPr>
              <w:rFonts w:eastAsia="宋体" w:cs="宋体"/>
              <w:b w:val="0"/>
              <w:bCs/>
              <w:kern w:val="0"/>
              <w:sz w:val="21"/>
              <w:szCs w:val="21"/>
            </w:rPr>
            <w:t>第五章   招标内容及要求</w:t>
          </w:r>
          <w:r>
            <w:rPr>
              <w:b w:val="0"/>
              <w:bCs/>
              <w:sz w:val="21"/>
              <w:szCs w:val="21"/>
            </w:rPr>
            <w:tab/>
          </w:r>
          <w:r>
            <w:rPr>
              <w:b w:val="0"/>
              <w:bCs/>
              <w:sz w:val="21"/>
              <w:szCs w:val="21"/>
            </w:rPr>
            <w:fldChar w:fldCharType="begin"/>
          </w:r>
          <w:r>
            <w:rPr>
              <w:b w:val="0"/>
              <w:bCs/>
              <w:sz w:val="21"/>
              <w:szCs w:val="21"/>
            </w:rPr>
            <w:instrText xml:space="preserve"> PAGEREF _Toc1258 </w:instrText>
          </w:r>
          <w:r>
            <w:rPr>
              <w:b w:val="0"/>
              <w:bCs/>
              <w:sz w:val="21"/>
              <w:szCs w:val="21"/>
            </w:rPr>
            <w:fldChar w:fldCharType="separate"/>
          </w:r>
          <w:r>
            <w:rPr>
              <w:b w:val="0"/>
              <w:bCs/>
              <w:sz w:val="21"/>
              <w:szCs w:val="21"/>
            </w:rPr>
            <w:t>35</w:t>
          </w:r>
          <w:r>
            <w:rPr>
              <w:b w:val="0"/>
              <w:bCs/>
              <w:sz w:val="21"/>
              <w:szCs w:val="21"/>
            </w:rPr>
            <w:fldChar w:fldCharType="end"/>
          </w:r>
          <w:r>
            <w:rPr>
              <w:b w:val="0"/>
              <w:bCs/>
              <w:sz w:val="21"/>
              <w:szCs w:val="21"/>
            </w:rPr>
            <w:fldChar w:fldCharType="end"/>
          </w:r>
        </w:p>
        <w:p>
          <w:pPr>
            <w:pStyle w:val="13"/>
            <w:tabs>
              <w:tab w:val="right" w:leader="dot" w:pos="8306"/>
            </w:tabs>
            <w:rPr>
              <w:b w:val="0"/>
              <w:bCs/>
              <w:sz w:val="21"/>
              <w:szCs w:val="21"/>
            </w:rPr>
          </w:pPr>
          <w:r>
            <w:fldChar w:fldCharType="begin"/>
          </w:r>
          <w:r>
            <w:instrText xml:space="preserve"> HYPERLINK \l "_Toc16575" </w:instrText>
          </w:r>
          <w:r>
            <w:fldChar w:fldCharType="separate"/>
          </w:r>
          <w:r>
            <w:rPr>
              <w:rFonts w:eastAsia="宋体" w:cs="宋体"/>
              <w:b w:val="0"/>
              <w:bCs/>
              <w:kern w:val="0"/>
              <w:sz w:val="21"/>
              <w:szCs w:val="21"/>
            </w:rPr>
            <w:t>第六章   政府采购合同（参考文本）</w:t>
          </w:r>
          <w:r>
            <w:rPr>
              <w:b w:val="0"/>
              <w:bCs/>
              <w:sz w:val="21"/>
              <w:szCs w:val="21"/>
            </w:rPr>
            <w:tab/>
          </w:r>
          <w:r>
            <w:rPr>
              <w:b w:val="0"/>
              <w:bCs/>
              <w:sz w:val="21"/>
              <w:szCs w:val="21"/>
            </w:rPr>
            <w:fldChar w:fldCharType="begin"/>
          </w:r>
          <w:r>
            <w:rPr>
              <w:b w:val="0"/>
              <w:bCs/>
              <w:sz w:val="21"/>
              <w:szCs w:val="21"/>
            </w:rPr>
            <w:instrText xml:space="preserve"> PAGEREF _Toc16575 </w:instrText>
          </w:r>
          <w:r>
            <w:rPr>
              <w:b w:val="0"/>
              <w:bCs/>
              <w:sz w:val="21"/>
              <w:szCs w:val="21"/>
            </w:rPr>
            <w:fldChar w:fldCharType="separate"/>
          </w:r>
          <w:r>
            <w:rPr>
              <w:b w:val="0"/>
              <w:bCs/>
              <w:sz w:val="21"/>
              <w:szCs w:val="21"/>
            </w:rPr>
            <w:t>58</w:t>
          </w:r>
          <w:r>
            <w:rPr>
              <w:b w:val="0"/>
              <w:bCs/>
              <w:sz w:val="21"/>
              <w:szCs w:val="21"/>
            </w:rPr>
            <w:fldChar w:fldCharType="end"/>
          </w:r>
          <w:r>
            <w:rPr>
              <w:b w:val="0"/>
              <w:bCs/>
              <w:sz w:val="21"/>
              <w:szCs w:val="21"/>
            </w:rPr>
            <w:fldChar w:fldCharType="end"/>
          </w:r>
        </w:p>
        <w:p>
          <w:pPr>
            <w:pStyle w:val="13"/>
            <w:tabs>
              <w:tab w:val="right" w:leader="dot" w:pos="8306"/>
            </w:tabs>
            <w:rPr>
              <w:b w:val="0"/>
              <w:bCs/>
              <w:sz w:val="21"/>
              <w:szCs w:val="21"/>
            </w:rPr>
          </w:pPr>
          <w:r>
            <w:fldChar w:fldCharType="begin"/>
          </w:r>
          <w:r>
            <w:instrText xml:space="preserve"> HYPERLINK \l "_Toc18052" </w:instrText>
          </w:r>
          <w:r>
            <w:fldChar w:fldCharType="separate"/>
          </w:r>
          <w:r>
            <w:rPr>
              <w:rFonts w:eastAsia="宋体" w:cs="宋体"/>
              <w:b w:val="0"/>
              <w:bCs/>
              <w:kern w:val="0"/>
              <w:sz w:val="21"/>
              <w:szCs w:val="21"/>
            </w:rPr>
            <w:t>第七章   投标文件格式</w:t>
          </w:r>
          <w:r>
            <w:rPr>
              <w:b w:val="0"/>
              <w:bCs/>
              <w:sz w:val="21"/>
              <w:szCs w:val="21"/>
            </w:rPr>
            <w:tab/>
          </w:r>
          <w:r>
            <w:rPr>
              <w:b w:val="0"/>
              <w:bCs/>
              <w:sz w:val="21"/>
              <w:szCs w:val="21"/>
            </w:rPr>
            <w:fldChar w:fldCharType="begin"/>
          </w:r>
          <w:r>
            <w:rPr>
              <w:b w:val="0"/>
              <w:bCs/>
              <w:sz w:val="21"/>
              <w:szCs w:val="21"/>
            </w:rPr>
            <w:instrText xml:space="preserve"> PAGEREF _Toc18052 </w:instrText>
          </w:r>
          <w:r>
            <w:rPr>
              <w:b w:val="0"/>
              <w:bCs/>
              <w:sz w:val="21"/>
              <w:szCs w:val="21"/>
            </w:rPr>
            <w:fldChar w:fldCharType="separate"/>
          </w:r>
          <w:r>
            <w:rPr>
              <w:b w:val="0"/>
              <w:bCs/>
              <w:sz w:val="21"/>
              <w:szCs w:val="21"/>
            </w:rPr>
            <w:t>61</w:t>
          </w:r>
          <w:r>
            <w:rPr>
              <w:b w:val="0"/>
              <w:bCs/>
              <w:sz w:val="21"/>
              <w:szCs w:val="21"/>
            </w:rPr>
            <w:fldChar w:fldCharType="end"/>
          </w:r>
          <w:r>
            <w:rPr>
              <w:b w:val="0"/>
              <w:bCs/>
              <w:sz w:val="21"/>
              <w:szCs w:val="21"/>
            </w:rPr>
            <w:fldChar w:fldCharType="end"/>
          </w:r>
        </w:p>
        <w:p>
          <w:pPr>
            <w:pStyle w:val="13"/>
            <w:tabs>
              <w:tab w:val="right" w:leader="dot" w:pos="8306"/>
            </w:tabs>
            <w:rPr>
              <w:b w:val="0"/>
              <w:bCs/>
              <w:sz w:val="21"/>
              <w:szCs w:val="21"/>
            </w:rPr>
          </w:pPr>
          <w:r>
            <w:fldChar w:fldCharType="begin"/>
          </w:r>
          <w:r>
            <w:instrText xml:space="preserve"> HYPERLINK \l "_Toc21210" </w:instrText>
          </w:r>
          <w:r>
            <w:fldChar w:fldCharType="separate"/>
          </w:r>
          <w:r>
            <w:rPr>
              <w:rFonts w:eastAsia="宋体" w:cs="宋体"/>
              <w:b w:val="0"/>
              <w:bCs/>
              <w:kern w:val="0"/>
              <w:sz w:val="21"/>
              <w:szCs w:val="21"/>
            </w:rPr>
            <w:t>封面格式 </w:t>
          </w:r>
          <w:r>
            <w:rPr>
              <w:b w:val="0"/>
              <w:bCs/>
              <w:sz w:val="21"/>
              <w:szCs w:val="21"/>
            </w:rPr>
            <w:tab/>
          </w:r>
          <w:r>
            <w:rPr>
              <w:b w:val="0"/>
              <w:bCs/>
              <w:sz w:val="21"/>
              <w:szCs w:val="21"/>
            </w:rPr>
            <w:fldChar w:fldCharType="begin"/>
          </w:r>
          <w:r>
            <w:rPr>
              <w:b w:val="0"/>
              <w:bCs/>
              <w:sz w:val="21"/>
              <w:szCs w:val="21"/>
            </w:rPr>
            <w:instrText xml:space="preserve"> PAGEREF _Toc21210 </w:instrText>
          </w:r>
          <w:r>
            <w:rPr>
              <w:b w:val="0"/>
              <w:bCs/>
              <w:sz w:val="21"/>
              <w:szCs w:val="21"/>
            </w:rPr>
            <w:fldChar w:fldCharType="separate"/>
          </w:r>
          <w:r>
            <w:rPr>
              <w:b w:val="0"/>
              <w:bCs/>
              <w:sz w:val="21"/>
              <w:szCs w:val="21"/>
            </w:rPr>
            <w:t>63</w:t>
          </w:r>
          <w:r>
            <w:rPr>
              <w:b w:val="0"/>
              <w:bCs/>
              <w:sz w:val="21"/>
              <w:szCs w:val="21"/>
            </w:rPr>
            <w:fldChar w:fldCharType="end"/>
          </w:r>
          <w:r>
            <w:rPr>
              <w:b w:val="0"/>
              <w:bCs/>
              <w:sz w:val="21"/>
              <w:szCs w:val="21"/>
            </w:rPr>
            <w:fldChar w:fldCharType="end"/>
          </w:r>
        </w:p>
        <w:p>
          <w:pPr>
            <w:pStyle w:val="13"/>
            <w:tabs>
              <w:tab w:val="right" w:leader="dot" w:pos="8306"/>
            </w:tabs>
            <w:rPr>
              <w:b w:val="0"/>
              <w:bCs/>
              <w:sz w:val="21"/>
              <w:szCs w:val="21"/>
            </w:rPr>
          </w:pPr>
          <w:r>
            <w:fldChar w:fldCharType="begin"/>
          </w:r>
          <w:r>
            <w:instrText xml:space="preserve"> HYPERLINK \l "_Toc14488" </w:instrText>
          </w:r>
          <w:r>
            <w:fldChar w:fldCharType="separate"/>
          </w:r>
          <w:r>
            <w:rPr>
              <w:rFonts w:eastAsia="宋体" w:cs="宋体"/>
              <w:b w:val="0"/>
              <w:bCs/>
              <w:kern w:val="0"/>
              <w:sz w:val="21"/>
              <w:szCs w:val="21"/>
            </w:rPr>
            <w:t>索引</w:t>
          </w:r>
          <w:r>
            <w:rPr>
              <w:b w:val="0"/>
              <w:bCs/>
              <w:sz w:val="21"/>
              <w:szCs w:val="21"/>
            </w:rPr>
            <w:tab/>
          </w:r>
          <w:r>
            <w:rPr>
              <w:b w:val="0"/>
              <w:bCs/>
              <w:sz w:val="21"/>
              <w:szCs w:val="21"/>
            </w:rPr>
            <w:fldChar w:fldCharType="begin"/>
          </w:r>
          <w:r>
            <w:rPr>
              <w:b w:val="0"/>
              <w:bCs/>
              <w:sz w:val="21"/>
              <w:szCs w:val="21"/>
            </w:rPr>
            <w:instrText xml:space="preserve"> PAGEREF _Toc14488 </w:instrText>
          </w:r>
          <w:r>
            <w:rPr>
              <w:b w:val="0"/>
              <w:bCs/>
              <w:sz w:val="21"/>
              <w:szCs w:val="21"/>
            </w:rPr>
            <w:fldChar w:fldCharType="separate"/>
          </w:r>
          <w:r>
            <w:rPr>
              <w:b w:val="0"/>
              <w:bCs/>
              <w:sz w:val="21"/>
              <w:szCs w:val="21"/>
            </w:rPr>
            <w:t>64</w:t>
          </w:r>
          <w:r>
            <w:rPr>
              <w:b w:val="0"/>
              <w:bCs/>
              <w:sz w:val="21"/>
              <w:szCs w:val="21"/>
            </w:rPr>
            <w:fldChar w:fldCharType="end"/>
          </w:r>
          <w:r>
            <w:rPr>
              <w:b w:val="0"/>
              <w:bCs/>
              <w:sz w:val="21"/>
              <w:szCs w:val="21"/>
            </w:rPr>
            <w:fldChar w:fldCharType="end"/>
          </w:r>
        </w:p>
        <w:p>
          <w:pPr>
            <w:pStyle w:val="13"/>
            <w:tabs>
              <w:tab w:val="right" w:leader="dot" w:pos="8306"/>
            </w:tabs>
            <w:rPr>
              <w:b w:val="0"/>
              <w:bCs/>
              <w:sz w:val="21"/>
              <w:szCs w:val="21"/>
            </w:rPr>
          </w:pPr>
          <w:r>
            <w:fldChar w:fldCharType="begin"/>
          </w:r>
          <w:r>
            <w:instrText xml:space="preserve"> HYPERLINK \l "_Toc31758" </w:instrText>
          </w:r>
          <w:r>
            <w:fldChar w:fldCharType="separate"/>
          </w:r>
          <w:r>
            <w:rPr>
              <w:rFonts w:eastAsia="宋体" w:cs="宋体"/>
              <w:b w:val="0"/>
              <w:bCs/>
              <w:kern w:val="0"/>
              <w:sz w:val="21"/>
              <w:szCs w:val="21"/>
            </w:rPr>
            <w:t>一、投标函</w:t>
          </w:r>
          <w:r>
            <w:rPr>
              <w:b w:val="0"/>
              <w:bCs/>
              <w:sz w:val="21"/>
              <w:szCs w:val="21"/>
            </w:rPr>
            <w:tab/>
          </w:r>
          <w:r>
            <w:rPr>
              <w:b w:val="0"/>
              <w:bCs/>
              <w:sz w:val="21"/>
              <w:szCs w:val="21"/>
            </w:rPr>
            <w:fldChar w:fldCharType="begin"/>
          </w:r>
          <w:r>
            <w:rPr>
              <w:b w:val="0"/>
              <w:bCs/>
              <w:sz w:val="21"/>
              <w:szCs w:val="21"/>
            </w:rPr>
            <w:instrText xml:space="preserve"> PAGEREF _Toc31758 </w:instrText>
          </w:r>
          <w:r>
            <w:rPr>
              <w:b w:val="0"/>
              <w:bCs/>
              <w:sz w:val="21"/>
              <w:szCs w:val="21"/>
            </w:rPr>
            <w:fldChar w:fldCharType="separate"/>
          </w:r>
          <w:r>
            <w:rPr>
              <w:b w:val="0"/>
              <w:bCs/>
              <w:sz w:val="21"/>
              <w:szCs w:val="21"/>
            </w:rPr>
            <w:t>64</w:t>
          </w:r>
          <w:r>
            <w:rPr>
              <w:b w:val="0"/>
              <w:bCs/>
              <w:sz w:val="21"/>
              <w:szCs w:val="21"/>
            </w:rPr>
            <w:fldChar w:fldCharType="end"/>
          </w:r>
          <w:r>
            <w:rPr>
              <w:b w:val="0"/>
              <w:bCs/>
              <w:sz w:val="21"/>
              <w:szCs w:val="21"/>
            </w:rPr>
            <w:fldChar w:fldCharType="end"/>
          </w:r>
        </w:p>
        <w:p>
          <w:pPr>
            <w:pStyle w:val="13"/>
            <w:tabs>
              <w:tab w:val="right" w:leader="dot" w:pos="8306"/>
            </w:tabs>
            <w:rPr>
              <w:b w:val="0"/>
              <w:bCs/>
              <w:sz w:val="21"/>
              <w:szCs w:val="21"/>
            </w:rPr>
          </w:pPr>
          <w:r>
            <w:fldChar w:fldCharType="begin"/>
          </w:r>
          <w:r>
            <w:instrText xml:space="preserve"> HYPERLINK \l "_Toc21711" </w:instrText>
          </w:r>
          <w:r>
            <w:fldChar w:fldCharType="separate"/>
          </w:r>
          <w:r>
            <w:rPr>
              <w:rFonts w:eastAsia="宋体" w:cs="宋体"/>
              <w:b w:val="0"/>
              <w:bCs/>
              <w:kern w:val="0"/>
              <w:sz w:val="21"/>
              <w:szCs w:val="21"/>
            </w:rPr>
            <w:t>二、投标人的资格及资信证明文件</w:t>
          </w:r>
          <w:r>
            <w:rPr>
              <w:b w:val="0"/>
              <w:bCs/>
              <w:sz w:val="21"/>
              <w:szCs w:val="21"/>
            </w:rPr>
            <w:tab/>
          </w:r>
          <w:r>
            <w:rPr>
              <w:b w:val="0"/>
              <w:bCs/>
              <w:sz w:val="21"/>
              <w:szCs w:val="21"/>
            </w:rPr>
            <w:fldChar w:fldCharType="begin"/>
          </w:r>
          <w:r>
            <w:rPr>
              <w:b w:val="0"/>
              <w:bCs/>
              <w:sz w:val="21"/>
              <w:szCs w:val="21"/>
            </w:rPr>
            <w:instrText xml:space="preserve"> PAGEREF _Toc21711 </w:instrText>
          </w:r>
          <w:r>
            <w:rPr>
              <w:b w:val="0"/>
              <w:bCs/>
              <w:sz w:val="21"/>
              <w:szCs w:val="21"/>
            </w:rPr>
            <w:fldChar w:fldCharType="separate"/>
          </w:r>
          <w:r>
            <w:rPr>
              <w:b w:val="0"/>
              <w:bCs/>
              <w:sz w:val="21"/>
              <w:szCs w:val="21"/>
            </w:rPr>
            <w:t>64</w:t>
          </w:r>
          <w:r>
            <w:rPr>
              <w:b w:val="0"/>
              <w:bCs/>
              <w:sz w:val="21"/>
              <w:szCs w:val="21"/>
            </w:rPr>
            <w:fldChar w:fldCharType="end"/>
          </w:r>
          <w:r>
            <w:rPr>
              <w:b w:val="0"/>
              <w:bCs/>
              <w:sz w:val="21"/>
              <w:szCs w:val="21"/>
            </w:rPr>
            <w:fldChar w:fldCharType="end"/>
          </w:r>
        </w:p>
        <w:p>
          <w:pPr>
            <w:pStyle w:val="13"/>
            <w:tabs>
              <w:tab w:val="right" w:leader="dot" w:pos="8306"/>
            </w:tabs>
            <w:rPr>
              <w:b w:val="0"/>
              <w:bCs/>
              <w:sz w:val="21"/>
              <w:szCs w:val="21"/>
            </w:rPr>
          </w:pPr>
          <w:r>
            <w:fldChar w:fldCharType="begin"/>
          </w:r>
          <w:r>
            <w:instrText xml:space="preserve"> HYPERLINK \l "_Toc7567" </w:instrText>
          </w:r>
          <w:r>
            <w:fldChar w:fldCharType="separate"/>
          </w:r>
          <w:r>
            <w:rPr>
              <w:rFonts w:eastAsia="宋体" w:cs="宋体"/>
              <w:b w:val="0"/>
              <w:bCs/>
              <w:kern w:val="0"/>
              <w:sz w:val="21"/>
              <w:szCs w:val="21"/>
            </w:rPr>
            <w:t>三、投标保证金</w:t>
          </w:r>
          <w:r>
            <w:rPr>
              <w:b w:val="0"/>
              <w:bCs/>
              <w:sz w:val="21"/>
              <w:szCs w:val="21"/>
            </w:rPr>
            <w:tab/>
          </w:r>
          <w:r>
            <w:rPr>
              <w:b w:val="0"/>
              <w:bCs/>
              <w:sz w:val="21"/>
              <w:szCs w:val="21"/>
            </w:rPr>
            <w:fldChar w:fldCharType="begin"/>
          </w:r>
          <w:r>
            <w:rPr>
              <w:b w:val="0"/>
              <w:bCs/>
              <w:sz w:val="21"/>
              <w:szCs w:val="21"/>
            </w:rPr>
            <w:instrText xml:space="preserve"> PAGEREF _Toc7567 </w:instrText>
          </w:r>
          <w:r>
            <w:rPr>
              <w:b w:val="0"/>
              <w:bCs/>
              <w:sz w:val="21"/>
              <w:szCs w:val="21"/>
            </w:rPr>
            <w:fldChar w:fldCharType="separate"/>
          </w:r>
          <w:r>
            <w:rPr>
              <w:b w:val="0"/>
              <w:bCs/>
              <w:sz w:val="21"/>
              <w:szCs w:val="21"/>
            </w:rPr>
            <w:t>64</w:t>
          </w:r>
          <w:r>
            <w:rPr>
              <w:b w:val="0"/>
              <w:bCs/>
              <w:sz w:val="21"/>
              <w:szCs w:val="21"/>
            </w:rPr>
            <w:fldChar w:fldCharType="end"/>
          </w:r>
          <w:r>
            <w:rPr>
              <w:b w:val="0"/>
              <w:bCs/>
              <w:sz w:val="21"/>
              <w:szCs w:val="21"/>
            </w:rPr>
            <w:fldChar w:fldCharType="end"/>
          </w:r>
        </w:p>
        <w:p>
          <w:pPr>
            <w:pStyle w:val="13"/>
            <w:tabs>
              <w:tab w:val="right" w:leader="dot" w:pos="8306"/>
            </w:tabs>
            <w:rPr>
              <w:b w:val="0"/>
              <w:bCs/>
              <w:sz w:val="21"/>
              <w:szCs w:val="21"/>
            </w:rPr>
          </w:pPr>
          <w:r>
            <w:fldChar w:fldCharType="begin"/>
          </w:r>
          <w:r>
            <w:instrText xml:space="preserve"> HYPERLINK \l "_Toc28500" </w:instrText>
          </w:r>
          <w:r>
            <w:fldChar w:fldCharType="separate"/>
          </w:r>
          <w:r>
            <w:rPr>
              <w:rFonts w:eastAsia="宋体" w:cs="宋体"/>
              <w:b w:val="0"/>
              <w:bCs/>
              <w:kern w:val="0"/>
              <w:sz w:val="21"/>
              <w:szCs w:val="21"/>
            </w:rPr>
            <w:t>封面格式 </w:t>
          </w:r>
          <w:r>
            <w:rPr>
              <w:b w:val="0"/>
              <w:bCs/>
              <w:sz w:val="21"/>
              <w:szCs w:val="21"/>
            </w:rPr>
            <w:tab/>
          </w:r>
          <w:r>
            <w:rPr>
              <w:b w:val="0"/>
              <w:bCs/>
              <w:sz w:val="21"/>
              <w:szCs w:val="21"/>
            </w:rPr>
            <w:fldChar w:fldCharType="begin"/>
          </w:r>
          <w:r>
            <w:rPr>
              <w:b w:val="0"/>
              <w:bCs/>
              <w:sz w:val="21"/>
              <w:szCs w:val="21"/>
            </w:rPr>
            <w:instrText xml:space="preserve"> PAGEREF _Toc28500 </w:instrText>
          </w:r>
          <w:r>
            <w:rPr>
              <w:b w:val="0"/>
              <w:bCs/>
              <w:sz w:val="21"/>
              <w:szCs w:val="21"/>
            </w:rPr>
            <w:fldChar w:fldCharType="separate"/>
          </w:r>
          <w:r>
            <w:rPr>
              <w:b w:val="0"/>
              <w:bCs/>
              <w:sz w:val="21"/>
              <w:szCs w:val="21"/>
            </w:rPr>
            <w:t>83</w:t>
          </w:r>
          <w:r>
            <w:rPr>
              <w:b w:val="0"/>
              <w:bCs/>
              <w:sz w:val="21"/>
              <w:szCs w:val="21"/>
            </w:rPr>
            <w:fldChar w:fldCharType="end"/>
          </w:r>
          <w:r>
            <w:rPr>
              <w:b w:val="0"/>
              <w:bCs/>
              <w:sz w:val="21"/>
              <w:szCs w:val="21"/>
            </w:rPr>
            <w:fldChar w:fldCharType="end"/>
          </w:r>
        </w:p>
        <w:p>
          <w:pPr>
            <w:pStyle w:val="13"/>
            <w:tabs>
              <w:tab w:val="right" w:leader="dot" w:pos="8306"/>
            </w:tabs>
            <w:rPr>
              <w:b w:val="0"/>
              <w:bCs/>
              <w:sz w:val="21"/>
              <w:szCs w:val="21"/>
            </w:rPr>
          </w:pPr>
          <w:r>
            <w:fldChar w:fldCharType="begin"/>
          </w:r>
          <w:r>
            <w:instrText xml:space="preserve"> HYPERLINK \l "_Toc20724" </w:instrText>
          </w:r>
          <w:r>
            <w:fldChar w:fldCharType="separate"/>
          </w:r>
          <w:r>
            <w:rPr>
              <w:rFonts w:eastAsia="宋体" w:cs="宋体"/>
              <w:b w:val="0"/>
              <w:bCs/>
              <w:kern w:val="0"/>
              <w:sz w:val="21"/>
              <w:szCs w:val="21"/>
            </w:rPr>
            <w:t>索引</w:t>
          </w:r>
          <w:r>
            <w:rPr>
              <w:b w:val="0"/>
              <w:bCs/>
              <w:sz w:val="21"/>
              <w:szCs w:val="21"/>
            </w:rPr>
            <w:tab/>
          </w:r>
          <w:r>
            <w:rPr>
              <w:b w:val="0"/>
              <w:bCs/>
              <w:sz w:val="21"/>
              <w:szCs w:val="21"/>
            </w:rPr>
            <w:fldChar w:fldCharType="begin"/>
          </w:r>
          <w:r>
            <w:rPr>
              <w:b w:val="0"/>
              <w:bCs/>
              <w:sz w:val="21"/>
              <w:szCs w:val="21"/>
            </w:rPr>
            <w:instrText xml:space="preserve"> PAGEREF _Toc20724 </w:instrText>
          </w:r>
          <w:r>
            <w:rPr>
              <w:b w:val="0"/>
              <w:bCs/>
              <w:sz w:val="21"/>
              <w:szCs w:val="21"/>
            </w:rPr>
            <w:fldChar w:fldCharType="separate"/>
          </w:r>
          <w:r>
            <w:rPr>
              <w:b w:val="0"/>
              <w:bCs/>
              <w:sz w:val="21"/>
              <w:szCs w:val="21"/>
            </w:rPr>
            <w:t>84</w:t>
          </w:r>
          <w:r>
            <w:rPr>
              <w:b w:val="0"/>
              <w:bCs/>
              <w:sz w:val="21"/>
              <w:szCs w:val="21"/>
            </w:rPr>
            <w:fldChar w:fldCharType="end"/>
          </w:r>
          <w:r>
            <w:rPr>
              <w:b w:val="0"/>
              <w:bCs/>
              <w:sz w:val="21"/>
              <w:szCs w:val="21"/>
            </w:rPr>
            <w:fldChar w:fldCharType="end"/>
          </w:r>
        </w:p>
        <w:p>
          <w:pPr>
            <w:pStyle w:val="13"/>
            <w:tabs>
              <w:tab w:val="right" w:leader="dot" w:pos="8306"/>
            </w:tabs>
            <w:rPr>
              <w:b w:val="0"/>
              <w:bCs/>
              <w:sz w:val="21"/>
              <w:szCs w:val="21"/>
            </w:rPr>
          </w:pPr>
          <w:r>
            <w:fldChar w:fldCharType="begin"/>
          </w:r>
          <w:r>
            <w:instrText xml:space="preserve"> HYPERLINK \l "_Toc504" </w:instrText>
          </w:r>
          <w:r>
            <w:fldChar w:fldCharType="separate"/>
          </w:r>
          <w:r>
            <w:rPr>
              <w:rFonts w:eastAsia="宋体" w:cs="宋体"/>
              <w:b w:val="0"/>
              <w:bCs/>
              <w:kern w:val="0"/>
              <w:sz w:val="21"/>
              <w:szCs w:val="21"/>
            </w:rPr>
            <w:t>一、开标一览表</w:t>
          </w:r>
          <w:r>
            <w:rPr>
              <w:b w:val="0"/>
              <w:bCs/>
              <w:sz w:val="21"/>
              <w:szCs w:val="21"/>
            </w:rPr>
            <w:tab/>
          </w:r>
          <w:r>
            <w:rPr>
              <w:b w:val="0"/>
              <w:bCs/>
              <w:sz w:val="21"/>
              <w:szCs w:val="21"/>
            </w:rPr>
            <w:fldChar w:fldCharType="begin"/>
          </w:r>
          <w:r>
            <w:rPr>
              <w:b w:val="0"/>
              <w:bCs/>
              <w:sz w:val="21"/>
              <w:szCs w:val="21"/>
            </w:rPr>
            <w:instrText xml:space="preserve"> PAGEREF _Toc504 </w:instrText>
          </w:r>
          <w:r>
            <w:rPr>
              <w:b w:val="0"/>
              <w:bCs/>
              <w:sz w:val="21"/>
              <w:szCs w:val="21"/>
            </w:rPr>
            <w:fldChar w:fldCharType="separate"/>
          </w:r>
          <w:r>
            <w:rPr>
              <w:b w:val="0"/>
              <w:bCs/>
              <w:sz w:val="21"/>
              <w:szCs w:val="21"/>
            </w:rPr>
            <w:t>84</w:t>
          </w:r>
          <w:r>
            <w:rPr>
              <w:b w:val="0"/>
              <w:bCs/>
              <w:sz w:val="21"/>
              <w:szCs w:val="21"/>
            </w:rPr>
            <w:fldChar w:fldCharType="end"/>
          </w:r>
          <w:r>
            <w:rPr>
              <w:b w:val="0"/>
              <w:bCs/>
              <w:sz w:val="21"/>
              <w:szCs w:val="21"/>
            </w:rPr>
            <w:fldChar w:fldCharType="end"/>
          </w:r>
        </w:p>
        <w:p>
          <w:pPr>
            <w:pStyle w:val="13"/>
            <w:tabs>
              <w:tab w:val="right" w:leader="dot" w:pos="8306"/>
            </w:tabs>
            <w:rPr>
              <w:b w:val="0"/>
              <w:bCs/>
              <w:sz w:val="21"/>
              <w:szCs w:val="21"/>
            </w:rPr>
          </w:pPr>
          <w:r>
            <w:fldChar w:fldCharType="begin"/>
          </w:r>
          <w:r>
            <w:instrText xml:space="preserve"> HYPERLINK \l "_Toc3311" </w:instrText>
          </w:r>
          <w:r>
            <w:fldChar w:fldCharType="separate"/>
          </w:r>
          <w:r>
            <w:rPr>
              <w:rFonts w:eastAsia="宋体" w:cs="宋体"/>
              <w:b w:val="0"/>
              <w:bCs/>
              <w:kern w:val="0"/>
              <w:sz w:val="21"/>
              <w:szCs w:val="21"/>
            </w:rPr>
            <w:t>二、投标分项报价表</w:t>
          </w:r>
          <w:r>
            <w:rPr>
              <w:b w:val="0"/>
              <w:bCs/>
              <w:sz w:val="21"/>
              <w:szCs w:val="21"/>
            </w:rPr>
            <w:tab/>
          </w:r>
          <w:r>
            <w:rPr>
              <w:b w:val="0"/>
              <w:bCs/>
              <w:sz w:val="21"/>
              <w:szCs w:val="21"/>
            </w:rPr>
            <w:fldChar w:fldCharType="begin"/>
          </w:r>
          <w:r>
            <w:rPr>
              <w:b w:val="0"/>
              <w:bCs/>
              <w:sz w:val="21"/>
              <w:szCs w:val="21"/>
            </w:rPr>
            <w:instrText xml:space="preserve"> PAGEREF _Toc3311 </w:instrText>
          </w:r>
          <w:r>
            <w:rPr>
              <w:b w:val="0"/>
              <w:bCs/>
              <w:sz w:val="21"/>
              <w:szCs w:val="21"/>
            </w:rPr>
            <w:fldChar w:fldCharType="separate"/>
          </w:r>
          <w:r>
            <w:rPr>
              <w:b w:val="0"/>
              <w:bCs/>
              <w:sz w:val="21"/>
              <w:szCs w:val="21"/>
            </w:rPr>
            <w:t>84</w:t>
          </w:r>
          <w:r>
            <w:rPr>
              <w:b w:val="0"/>
              <w:bCs/>
              <w:sz w:val="21"/>
              <w:szCs w:val="21"/>
            </w:rPr>
            <w:fldChar w:fldCharType="end"/>
          </w:r>
          <w:r>
            <w:rPr>
              <w:b w:val="0"/>
              <w:bCs/>
              <w:sz w:val="21"/>
              <w:szCs w:val="21"/>
            </w:rPr>
            <w:fldChar w:fldCharType="end"/>
          </w:r>
        </w:p>
        <w:p>
          <w:pPr>
            <w:pStyle w:val="13"/>
            <w:tabs>
              <w:tab w:val="right" w:leader="dot" w:pos="8306"/>
            </w:tabs>
            <w:rPr>
              <w:b w:val="0"/>
              <w:bCs/>
              <w:sz w:val="21"/>
              <w:szCs w:val="21"/>
            </w:rPr>
          </w:pPr>
          <w:r>
            <w:fldChar w:fldCharType="begin"/>
          </w:r>
          <w:r>
            <w:instrText xml:space="preserve"> HYPERLINK \l "_Toc29425" </w:instrText>
          </w:r>
          <w:r>
            <w:fldChar w:fldCharType="separate"/>
          </w:r>
          <w:r>
            <w:rPr>
              <w:rFonts w:eastAsia="宋体" w:cs="宋体"/>
              <w:b w:val="0"/>
              <w:bCs/>
              <w:kern w:val="0"/>
              <w:sz w:val="21"/>
              <w:szCs w:val="21"/>
            </w:rPr>
            <w:t>三、招标文件规定的价格扣除证明材料（若有）</w:t>
          </w:r>
          <w:r>
            <w:rPr>
              <w:b w:val="0"/>
              <w:bCs/>
              <w:sz w:val="21"/>
              <w:szCs w:val="21"/>
            </w:rPr>
            <w:tab/>
          </w:r>
          <w:r>
            <w:rPr>
              <w:b w:val="0"/>
              <w:bCs/>
              <w:sz w:val="21"/>
              <w:szCs w:val="21"/>
            </w:rPr>
            <w:fldChar w:fldCharType="begin"/>
          </w:r>
          <w:r>
            <w:rPr>
              <w:b w:val="0"/>
              <w:bCs/>
              <w:sz w:val="21"/>
              <w:szCs w:val="21"/>
            </w:rPr>
            <w:instrText xml:space="preserve"> PAGEREF _Toc29425 </w:instrText>
          </w:r>
          <w:r>
            <w:rPr>
              <w:b w:val="0"/>
              <w:bCs/>
              <w:sz w:val="21"/>
              <w:szCs w:val="21"/>
            </w:rPr>
            <w:fldChar w:fldCharType="separate"/>
          </w:r>
          <w:r>
            <w:rPr>
              <w:b w:val="0"/>
              <w:bCs/>
              <w:sz w:val="21"/>
              <w:szCs w:val="21"/>
            </w:rPr>
            <w:t>84</w:t>
          </w:r>
          <w:r>
            <w:rPr>
              <w:b w:val="0"/>
              <w:bCs/>
              <w:sz w:val="21"/>
              <w:szCs w:val="21"/>
            </w:rPr>
            <w:fldChar w:fldCharType="end"/>
          </w:r>
          <w:r>
            <w:rPr>
              <w:b w:val="0"/>
              <w:bCs/>
              <w:sz w:val="21"/>
              <w:szCs w:val="21"/>
            </w:rPr>
            <w:fldChar w:fldCharType="end"/>
          </w:r>
        </w:p>
        <w:p>
          <w:pPr>
            <w:pStyle w:val="13"/>
            <w:tabs>
              <w:tab w:val="right" w:leader="dot" w:pos="8306"/>
            </w:tabs>
            <w:rPr>
              <w:b w:val="0"/>
              <w:bCs/>
              <w:sz w:val="21"/>
              <w:szCs w:val="21"/>
            </w:rPr>
          </w:pPr>
          <w:r>
            <w:fldChar w:fldCharType="begin"/>
          </w:r>
          <w:r>
            <w:instrText xml:space="preserve"> HYPERLINK \l "_Toc18794" </w:instrText>
          </w:r>
          <w:r>
            <w:fldChar w:fldCharType="separate"/>
          </w:r>
          <w:r>
            <w:rPr>
              <w:rFonts w:eastAsia="宋体" w:cs="宋体"/>
              <w:b w:val="0"/>
              <w:bCs/>
              <w:kern w:val="0"/>
              <w:sz w:val="21"/>
              <w:szCs w:val="21"/>
            </w:rPr>
            <w:t>四、招标文件规定的加分证明材料（若有）</w:t>
          </w:r>
          <w:r>
            <w:rPr>
              <w:b w:val="0"/>
              <w:bCs/>
              <w:sz w:val="21"/>
              <w:szCs w:val="21"/>
            </w:rPr>
            <w:tab/>
          </w:r>
          <w:r>
            <w:rPr>
              <w:b w:val="0"/>
              <w:bCs/>
              <w:sz w:val="21"/>
              <w:szCs w:val="21"/>
            </w:rPr>
            <w:fldChar w:fldCharType="begin"/>
          </w:r>
          <w:r>
            <w:rPr>
              <w:b w:val="0"/>
              <w:bCs/>
              <w:sz w:val="21"/>
              <w:szCs w:val="21"/>
            </w:rPr>
            <w:instrText xml:space="preserve"> PAGEREF _Toc18794 </w:instrText>
          </w:r>
          <w:r>
            <w:rPr>
              <w:b w:val="0"/>
              <w:bCs/>
              <w:sz w:val="21"/>
              <w:szCs w:val="21"/>
            </w:rPr>
            <w:fldChar w:fldCharType="separate"/>
          </w:r>
          <w:r>
            <w:rPr>
              <w:b w:val="0"/>
              <w:bCs/>
              <w:sz w:val="21"/>
              <w:szCs w:val="21"/>
            </w:rPr>
            <w:t>84</w:t>
          </w:r>
          <w:r>
            <w:rPr>
              <w:b w:val="0"/>
              <w:bCs/>
              <w:sz w:val="21"/>
              <w:szCs w:val="21"/>
            </w:rPr>
            <w:fldChar w:fldCharType="end"/>
          </w:r>
          <w:r>
            <w:rPr>
              <w:b w:val="0"/>
              <w:bCs/>
              <w:sz w:val="21"/>
              <w:szCs w:val="21"/>
            </w:rPr>
            <w:fldChar w:fldCharType="end"/>
          </w:r>
        </w:p>
        <w:p>
          <w:pPr>
            <w:pStyle w:val="13"/>
            <w:tabs>
              <w:tab w:val="right" w:leader="dot" w:pos="8306"/>
            </w:tabs>
            <w:rPr>
              <w:b w:val="0"/>
              <w:bCs/>
              <w:sz w:val="21"/>
              <w:szCs w:val="21"/>
            </w:rPr>
          </w:pPr>
          <w:r>
            <w:fldChar w:fldCharType="begin"/>
          </w:r>
          <w:r>
            <w:instrText xml:space="preserve"> HYPERLINK \l "_Toc7475" </w:instrText>
          </w:r>
          <w:r>
            <w:fldChar w:fldCharType="separate"/>
          </w:r>
          <w:r>
            <w:rPr>
              <w:rFonts w:eastAsia="宋体" w:cs="宋体"/>
              <w:b w:val="0"/>
              <w:bCs/>
              <w:kern w:val="0"/>
              <w:sz w:val="21"/>
              <w:szCs w:val="21"/>
            </w:rPr>
            <w:t>封面格式</w:t>
          </w:r>
          <w:r>
            <w:rPr>
              <w:b w:val="0"/>
              <w:bCs/>
              <w:sz w:val="21"/>
              <w:szCs w:val="21"/>
            </w:rPr>
            <w:tab/>
          </w:r>
          <w:r>
            <w:rPr>
              <w:b w:val="0"/>
              <w:bCs/>
              <w:sz w:val="21"/>
              <w:szCs w:val="21"/>
            </w:rPr>
            <w:fldChar w:fldCharType="begin"/>
          </w:r>
          <w:r>
            <w:rPr>
              <w:b w:val="0"/>
              <w:bCs/>
              <w:sz w:val="21"/>
              <w:szCs w:val="21"/>
            </w:rPr>
            <w:instrText xml:space="preserve"> PAGEREF _Toc7475 </w:instrText>
          </w:r>
          <w:r>
            <w:rPr>
              <w:b w:val="0"/>
              <w:bCs/>
              <w:sz w:val="21"/>
              <w:szCs w:val="21"/>
            </w:rPr>
            <w:fldChar w:fldCharType="separate"/>
          </w:r>
          <w:r>
            <w:rPr>
              <w:b w:val="0"/>
              <w:bCs/>
              <w:sz w:val="21"/>
              <w:szCs w:val="21"/>
            </w:rPr>
            <w:t>95</w:t>
          </w:r>
          <w:r>
            <w:rPr>
              <w:b w:val="0"/>
              <w:bCs/>
              <w:sz w:val="21"/>
              <w:szCs w:val="21"/>
            </w:rPr>
            <w:fldChar w:fldCharType="end"/>
          </w:r>
          <w:r>
            <w:rPr>
              <w:b w:val="0"/>
              <w:bCs/>
              <w:sz w:val="21"/>
              <w:szCs w:val="21"/>
            </w:rPr>
            <w:fldChar w:fldCharType="end"/>
          </w:r>
        </w:p>
        <w:p>
          <w:pPr>
            <w:pStyle w:val="13"/>
            <w:tabs>
              <w:tab w:val="right" w:leader="dot" w:pos="8306"/>
            </w:tabs>
            <w:rPr>
              <w:b w:val="0"/>
              <w:bCs/>
              <w:sz w:val="21"/>
              <w:szCs w:val="21"/>
            </w:rPr>
          </w:pPr>
          <w:r>
            <w:fldChar w:fldCharType="begin"/>
          </w:r>
          <w:r>
            <w:instrText xml:space="preserve"> HYPERLINK \l "_Toc30849" </w:instrText>
          </w:r>
          <w:r>
            <w:fldChar w:fldCharType="separate"/>
          </w:r>
          <w:r>
            <w:rPr>
              <w:rFonts w:eastAsia="宋体" w:cs="宋体"/>
              <w:b w:val="0"/>
              <w:bCs/>
              <w:kern w:val="0"/>
              <w:sz w:val="21"/>
              <w:szCs w:val="21"/>
            </w:rPr>
            <w:t>索引</w:t>
          </w:r>
          <w:r>
            <w:rPr>
              <w:b w:val="0"/>
              <w:bCs/>
              <w:sz w:val="21"/>
              <w:szCs w:val="21"/>
            </w:rPr>
            <w:tab/>
          </w:r>
          <w:r>
            <w:rPr>
              <w:b w:val="0"/>
              <w:bCs/>
              <w:sz w:val="21"/>
              <w:szCs w:val="21"/>
            </w:rPr>
            <w:fldChar w:fldCharType="begin"/>
          </w:r>
          <w:r>
            <w:rPr>
              <w:b w:val="0"/>
              <w:bCs/>
              <w:sz w:val="21"/>
              <w:szCs w:val="21"/>
            </w:rPr>
            <w:instrText xml:space="preserve"> PAGEREF _Toc30849 </w:instrText>
          </w:r>
          <w:r>
            <w:rPr>
              <w:b w:val="0"/>
              <w:bCs/>
              <w:sz w:val="21"/>
              <w:szCs w:val="21"/>
            </w:rPr>
            <w:fldChar w:fldCharType="separate"/>
          </w:r>
          <w:r>
            <w:rPr>
              <w:b w:val="0"/>
              <w:bCs/>
              <w:sz w:val="21"/>
              <w:szCs w:val="21"/>
            </w:rPr>
            <w:t>96</w:t>
          </w:r>
          <w:r>
            <w:rPr>
              <w:b w:val="0"/>
              <w:bCs/>
              <w:sz w:val="21"/>
              <w:szCs w:val="21"/>
            </w:rPr>
            <w:fldChar w:fldCharType="end"/>
          </w:r>
          <w:r>
            <w:rPr>
              <w:b w:val="0"/>
              <w:bCs/>
              <w:sz w:val="21"/>
              <w:szCs w:val="21"/>
            </w:rPr>
            <w:fldChar w:fldCharType="end"/>
          </w:r>
        </w:p>
        <w:p>
          <w:pPr>
            <w:pStyle w:val="13"/>
            <w:tabs>
              <w:tab w:val="right" w:leader="dot" w:pos="8306"/>
            </w:tabs>
            <w:rPr>
              <w:b w:val="0"/>
              <w:bCs/>
              <w:sz w:val="21"/>
              <w:szCs w:val="21"/>
            </w:rPr>
          </w:pPr>
          <w:r>
            <w:fldChar w:fldCharType="begin"/>
          </w:r>
          <w:r>
            <w:instrText xml:space="preserve"> HYPERLINK \l "_Toc2091" </w:instrText>
          </w:r>
          <w:r>
            <w:fldChar w:fldCharType="separate"/>
          </w:r>
          <w:r>
            <w:rPr>
              <w:rFonts w:eastAsia="宋体" w:cs="宋体"/>
              <w:b w:val="0"/>
              <w:bCs/>
              <w:kern w:val="0"/>
              <w:sz w:val="21"/>
              <w:szCs w:val="21"/>
            </w:rPr>
            <w:t>一、标的说明一览表</w:t>
          </w:r>
          <w:r>
            <w:rPr>
              <w:b w:val="0"/>
              <w:bCs/>
              <w:sz w:val="21"/>
              <w:szCs w:val="21"/>
            </w:rPr>
            <w:tab/>
          </w:r>
          <w:r>
            <w:rPr>
              <w:b w:val="0"/>
              <w:bCs/>
              <w:sz w:val="21"/>
              <w:szCs w:val="21"/>
            </w:rPr>
            <w:fldChar w:fldCharType="begin"/>
          </w:r>
          <w:r>
            <w:rPr>
              <w:b w:val="0"/>
              <w:bCs/>
              <w:sz w:val="21"/>
              <w:szCs w:val="21"/>
            </w:rPr>
            <w:instrText xml:space="preserve"> PAGEREF _Toc2091 </w:instrText>
          </w:r>
          <w:r>
            <w:rPr>
              <w:b w:val="0"/>
              <w:bCs/>
              <w:sz w:val="21"/>
              <w:szCs w:val="21"/>
            </w:rPr>
            <w:fldChar w:fldCharType="separate"/>
          </w:r>
          <w:r>
            <w:rPr>
              <w:b w:val="0"/>
              <w:bCs/>
              <w:sz w:val="21"/>
              <w:szCs w:val="21"/>
            </w:rPr>
            <w:t>96</w:t>
          </w:r>
          <w:r>
            <w:rPr>
              <w:b w:val="0"/>
              <w:bCs/>
              <w:sz w:val="21"/>
              <w:szCs w:val="21"/>
            </w:rPr>
            <w:fldChar w:fldCharType="end"/>
          </w:r>
          <w:r>
            <w:rPr>
              <w:b w:val="0"/>
              <w:bCs/>
              <w:sz w:val="21"/>
              <w:szCs w:val="21"/>
            </w:rPr>
            <w:fldChar w:fldCharType="end"/>
          </w:r>
        </w:p>
        <w:p>
          <w:pPr>
            <w:pStyle w:val="13"/>
            <w:tabs>
              <w:tab w:val="right" w:leader="dot" w:pos="8306"/>
            </w:tabs>
            <w:rPr>
              <w:b w:val="0"/>
              <w:bCs/>
              <w:sz w:val="21"/>
              <w:szCs w:val="21"/>
            </w:rPr>
          </w:pPr>
          <w:r>
            <w:fldChar w:fldCharType="begin"/>
          </w:r>
          <w:r>
            <w:instrText xml:space="preserve"> HYPERLINK \l "_Toc4830" </w:instrText>
          </w:r>
          <w:r>
            <w:fldChar w:fldCharType="separate"/>
          </w:r>
          <w:r>
            <w:rPr>
              <w:rFonts w:eastAsia="宋体" w:cs="宋体"/>
              <w:b w:val="0"/>
              <w:bCs/>
              <w:kern w:val="0"/>
              <w:sz w:val="21"/>
              <w:szCs w:val="21"/>
            </w:rPr>
            <w:t>二、技术和服务要求响应表</w:t>
          </w:r>
          <w:r>
            <w:rPr>
              <w:b w:val="0"/>
              <w:bCs/>
              <w:sz w:val="21"/>
              <w:szCs w:val="21"/>
            </w:rPr>
            <w:tab/>
          </w:r>
          <w:r>
            <w:rPr>
              <w:b w:val="0"/>
              <w:bCs/>
              <w:sz w:val="21"/>
              <w:szCs w:val="21"/>
            </w:rPr>
            <w:fldChar w:fldCharType="begin"/>
          </w:r>
          <w:r>
            <w:rPr>
              <w:b w:val="0"/>
              <w:bCs/>
              <w:sz w:val="21"/>
              <w:szCs w:val="21"/>
            </w:rPr>
            <w:instrText xml:space="preserve"> PAGEREF _Toc4830 </w:instrText>
          </w:r>
          <w:r>
            <w:rPr>
              <w:b w:val="0"/>
              <w:bCs/>
              <w:sz w:val="21"/>
              <w:szCs w:val="21"/>
            </w:rPr>
            <w:fldChar w:fldCharType="separate"/>
          </w:r>
          <w:r>
            <w:rPr>
              <w:b w:val="0"/>
              <w:bCs/>
              <w:sz w:val="21"/>
              <w:szCs w:val="21"/>
            </w:rPr>
            <w:t>96</w:t>
          </w:r>
          <w:r>
            <w:rPr>
              <w:b w:val="0"/>
              <w:bCs/>
              <w:sz w:val="21"/>
              <w:szCs w:val="21"/>
            </w:rPr>
            <w:fldChar w:fldCharType="end"/>
          </w:r>
          <w:r>
            <w:rPr>
              <w:b w:val="0"/>
              <w:bCs/>
              <w:sz w:val="21"/>
              <w:szCs w:val="21"/>
            </w:rPr>
            <w:fldChar w:fldCharType="end"/>
          </w:r>
        </w:p>
        <w:p>
          <w:pPr>
            <w:pStyle w:val="13"/>
            <w:tabs>
              <w:tab w:val="right" w:leader="dot" w:pos="8306"/>
            </w:tabs>
            <w:rPr>
              <w:b w:val="0"/>
              <w:bCs/>
              <w:sz w:val="21"/>
              <w:szCs w:val="21"/>
            </w:rPr>
          </w:pPr>
          <w:r>
            <w:fldChar w:fldCharType="begin"/>
          </w:r>
          <w:r>
            <w:instrText xml:space="preserve"> HYPERLINK \l "_Toc10848" </w:instrText>
          </w:r>
          <w:r>
            <w:fldChar w:fldCharType="separate"/>
          </w:r>
          <w:r>
            <w:rPr>
              <w:rFonts w:eastAsia="宋体" w:cs="宋体"/>
              <w:b w:val="0"/>
              <w:bCs/>
              <w:kern w:val="0"/>
              <w:sz w:val="21"/>
              <w:szCs w:val="21"/>
            </w:rPr>
            <w:t>三、商务条件响应表</w:t>
          </w:r>
          <w:r>
            <w:rPr>
              <w:b w:val="0"/>
              <w:bCs/>
              <w:sz w:val="21"/>
              <w:szCs w:val="21"/>
            </w:rPr>
            <w:tab/>
          </w:r>
          <w:r>
            <w:rPr>
              <w:b w:val="0"/>
              <w:bCs/>
              <w:sz w:val="21"/>
              <w:szCs w:val="21"/>
            </w:rPr>
            <w:fldChar w:fldCharType="begin"/>
          </w:r>
          <w:r>
            <w:rPr>
              <w:b w:val="0"/>
              <w:bCs/>
              <w:sz w:val="21"/>
              <w:szCs w:val="21"/>
            </w:rPr>
            <w:instrText xml:space="preserve"> PAGEREF _Toc10848 </w:instrText>
          </w:r>
          <w:r>
            <w:rPr>
              <w:b w:val="0"/>
              <w:bCs/>
              <w:sz w:val="21"/>
              <w:szCs w:val="21"/>
            </w:rPr>
            <w:fldChar w:fldCharType="separate"/>
          </w:r>
          <w:r>
            <w:rPr>
              <w:b w:val="0"/>
              <w:bCs/>
              <w:sz w:val="21"/>
              <w:szCs w:val="21"/>
            </w:rPr>
            <w:t>96</w:t>
          </w:r>
          <w:r>
            <w:rPr>
              <w:b w:val="0"/>
              <w:bCs/>
              <w:sz w:val="21"/>
              <w:szCs w:val="21"/>
            </w:rPr>
            <w:fldChar w:fldCharType="end"/>
          </w:r>
          <w:r>
            <w:rPr>
              <w:b w:val="0"/>
              <w:bCs/>
              <w:sz w:val="21"/>
              <w:szCs w:val="21"/>
            </w:rPr>
            <w:fldChar w:fldCharType="end"/>
          </w:r>
        </w:p>
        <w:p>
          <w:pPr>
            <w:pStyle w:val="13"/>
            <w:tabs>
              <w:tab w:val="right" w:leader="dot" w:pos="8306"/>
            </w:tabs>
            <w:rPr>
              <w:b w:val="0"/>
              <w:bCs/>
              <w:sz w:val="21"/>
              <w:szCs w:val="21"/>
            </w:rPr>
          </w:pPr>
          <w:r>
            <w:fldChar w:fldCharType="begin"/>
          </w:r>
          <w:r>
            <w:instrText xml:space="preserve"> HYPERLINK \l "_Toc20216" </w:instrText>
          </w:r>
          <w:r>
            <w:fldChar w:fldCharType="separate"/>
          </w:r>
          <w:r>
            <w:rPr>
              <w:rFonts w:eastAsia="宋体" w:cs="宋体"/>
              <w:b w:val="0"/>
              <w:bCs/>
              <w:kern w:val="0"/>
              <w:sz w:val="21"/>
              <w:szCs w:val="21"/>
            </w:rPr>
            <w:t>四、投标人提交的其他资料（若有）</w:t>
          </w:r>
          <w:r>
            <w:rPr>
              <w:b w:val="0"/>
              <w:bCs/>
              <w:sz w:val="21"/>
              <w:szCs w:val="21"/>
            </w:rPr>
            <w:tab/>
          </w:r>
          <w:r>
            <w:rPr>
              <w:b w:val="0"/>
              <w:bCs/>
              <w:sz w:val="21"/>
              <w:szCs w:val="21"/>
            </w:rPr>
            <w:fldChar w:fldCharType="begin"/>
          </w:r>
          <w:r>
            <w:rPr>
              <w:b w:val="0"/>
              <w:bCs/>
              <w:sz w:val="21"/>
              <w:szCs w:val="21"/>
            </w:rPr>
            <w:instrText xml:space="preserve"> PAGEREF _Toc20216 </w:instrText>
          </w:r>
          <w:r>
            <w:rPr>
              <w:b w:val="0"/>
              <w:bCs/>
              <w:sz w:val="21"/>
              <w:szCs w:val="21"/>
            </w:rPr>
            <w:fldChar w:fldCharType="separate"/>
          </w:r>
          <w:r>
            <w:rPr>
              <w:b w:val="0"/>
              <w:bCs/>
              <w:sz w:val="21"/>
              <w:szCs w:val="21"/>
            </w:rPr>
            <w:t>96</w:t>
          </w:r>
          <w:r>
            <w:rPr>
              <w:b w:val="0"/>
              <w:bCs/>
              <w:sz w:val="21"/>
              <w:szCs w:val="21"/>
            </w:rPr>
            <w:fldChar w:fldCharType="end"/>
          </w:r>
          <w:r>
            <w:rPr>
              <w:b w:val="0"/>
              <w:bCs/>
              <w:sz w:val="21"/>
              <w:szCs w:val="21"/>
            </w:rPr>
            <w:fldChar w:fldCharType="end"/>
          </w:r>
        </w:p>
        <w:p>
          <w:pPr>
            <w:pStyle w:val="2"/>
            <w:rPr>
              <w:rFonts w:ascii="宋体" w:hAnsi="宋体" w:cs="宋体"/>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cs="宋体"/>
              <w:bCs/>
              <w:szCs w:val="21"/>
            </w:rPr>
            <w:fldChar w:fldCharType="end"/>
          </w:r>
        </w:p>
      </w:sdtContent>
    </w:sdt>
    <w:p>
      <w:pPr>
        <w:widowControl/>
        <w:spacing w:before="75" w:after="75"/>
        <w:jc w:val="center"/>
        <w:outlineLvl w:val="0"/>
        <w:rPr>
          <w:rFonts w:ascii="宋体" w:hAnsi="宋体" w:eastAsia="宋体" w:cs="宋体"/>
          <w:kern w:val="0"/>
          <w:sz w:val="24"/>
          <w:szCs w:val="24"/>
        </w:rPr>
      </w:pPr>
      <w:bookmarkStart w:id="0" w:name="_Toc4181"/>
      <w:r>
        <w:rPr>
          <w:rFonts w:ascii="宋体" w:hAnsi="宋体" w:eastAsia="宋体" w:cs="宋体"/>
          <w:b/>
          <w:bCs/>
          <w:kern w:val="0"/>
          <w:sz w:val="32"/>
        </w:rPr>
        <w:t>第一章   投标邀请</w:t>
      </w:r>
      <w:bookmarkEnd w:id="0"/>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0" w:lineRule="exact"/>
        <w:ind w:firstLine="480"/>
        <w:jc w:val="left"/>
        <w:rPr>
          <w:rFonts w:ascii="宋体" w:hAnsi="宋体" w:eastAsia="宋体" w:cs="宋体"/>
          <w:kern w:val="0"/>
          <w:sz w:val="24"/>
          <w:szCs w:val="24"/>
        </w:rPr>
      </w:pPr>
      <w:r>
        <w:rPr>
          <w:rFonts w:ascii="宋体" w:hAnsi="宋体" w:eastAsia="宋体" w:cs="宋体"/>
          <w:kern w:val="0"/>
          <w:sz w:val="24"/>
          <w:szCs w:val="24"/>
          <w:u w:val="single"/>
        </w:rPr>
        <w:t>厦门市务实采购有限公司</w:t>
      </w:r>
      <w:r>
        <w:rPr>
          <w:rFonts w:ascii="宋体" w:hAnsi="宋体" w:eastAsia="宋体" w:cs="宋体"/>
          <w:kern w:val="0"/>
          <w:sz w:val="24"/>
          <w:szCs w:val="24"/>
        </w:rPr>
        <w:t>采用</w:t>
      </w:r>
      <w:r>
        <w:rPr>
          <w:rFonts w:ascii="宋体" w:hAnsi="宋体" w:eastAsia="宋体" w:cs="宋体"/>
          <w:kern w:val="0"/>
          <w:sz w:val="24"/>
          <w:szCs w:val="24"/>
          <w:u w:val="single"/>
        </w:rPr>
        <w:t>公开招标</w:t>
      </w:r>
      <w:r>
        <w:rPr>
          <w:rFonts w:ascii="宋体" w:hAnsi="宋体" w:eastAsia="宋体" w:cs="宋体"/>
          <w:kern w:val="0"/>
          <w:sz w:val="24"/>
          <w:szCs w:val="24"/>
        </w:rPr>
        <w:t>方式组织</w:t>
      </w:r>
      <w:r>
        <w:rPr>
          <w:rFonts w:hint="eastAsia" w:ascii="宋体" w:hAnsi="宋体" w:eastAsia="宋体" w:cs="宋体"/>
          <w:kern w:val="0"/>
          <w:sz w:val="24"/>
          <w:szCs w:val="24"/>
        </w:rPr>
        <w:t>石狮服装城监控系统及消防控制中心系统改造项目公开招标采购项目</w:t>
      </w:r>
      <w:r>
        <w:rPr>
          <w:rFonts w:ascii="宋体" w:hAnsi="宋体" w:eastAsia="宋体" w:cs="宋体"/>
          <w:kern w:val="0"/>
          <w:sz w:val="24"/>
          <w:szCs w:val="24"/>
        </w:rPr>
        <w:t>（以下简称：“本项目”）的采购活动，</w:t>
      </w:r>
      <w:r>
        <w:rPr>
          <w:rFonts w:hint="eastAsia" w:ascii="宋体" w:hAnsi="宋体" w:eastAsia="宋体" w:cs="宋体"/>
          <w:kern w:val="0"/>
          <w:sz w:val="24"/>
          <w:szCs w:val="24"/>
        </w:rPr>
        <w:t>现</w:t>
      </w:r>
      <w:r>
        <w:rPr>
          <w:rFonts w:ascii="宋体" w:hAnsi="宋体" w:eastAsia="宋体" w:cs="宋体"/>
          <w:kern w:val="0"/>
          <w:sz w:val="24"/>
          <w:szCs w:val="24"/>
        </w:rPr>
        <w:t>邀请</w:t>
      </w:r>
      <w:r>
        <w:rPr>
          <w:rFonts w:hint="eastAsia" w:ascii="宋体" w:hAnsi="宋体" w:eastAsia="宋体" w:cs="宋体"/>
          <w:kern w:val="0"/>
          <w:sz w:val="24"/>
          <w:szCs w:val="24"/>
        </w:rPr>
        <w:t>潜在</w:t>
      </w:r>
      <w:r>
        <w:rPr>
          <w:rFonts w:ascii="宋体" w:hAnsi="宋体" w:eastAsia="宋体" w:cs="宋体"/>
          <w:kern w:val="0"/>
          <w:sz w:val="24"/>
          <w:szCs w:val="24"/>
        </w:rPr>
        <w:t>供应商参加投标。</w:t>
      </w:r>
    </w:p>
    <w:p>
      <w:pPr>
        <w:widowControl/>
        <w:spacing w:before="75" w:after="75" w:line="400" w:lineRule="exact"/>
        <w:ind w:firstLine="48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1</w:t>
      </w:r>
      <w:r>
        <w:rPr>
          <w:rFonts w:ascii="宋体" w:hAnsi="宋体" w:eastAsia="宋体" w:cs="宋体"/>
          <w:kern w:val="0"/>
          <w:sz w:val="24"/>
          <w:szCs w:val="24"/>
        </w:rPr>
        <w:t>、招标编号：</w:t>
      </w:r>
      <w:r>
        <w:rPr>
          <w:rFonts w:hint="eastAsia" w:ascii="宋体" w:hAnsi="宋体" w:eastAsia="宋体" w:cs="宋体"/>
          <w:kern w:val="0"/>
          <w:sz w:val="24"/>
          <w:szCs w:val="24"/>
        </w:rPr>
        <w:t>XMWS2021Q001</w:t>
      </w:r>
      <w:r>
        <w:rPr>
          <w:rFonts w:hint="eastAsia" w:ascii="宋体" w:hAnsi="宋体" w:eastAsia="宋体" w:cs="宋体"/>
          <w:kern w:val="0"/>
          <w:sz w:val="24"/>
          <w:szCs w:val="24"/>
          <w:lang w:val="en-US" w:eastAsia="zh-CN"/>
        </w:rPr>
        <w:t>(1)</w:t>
      </w:r>
    </w:p>
    <w:p>
      <w:pPr>
        <w:widowControl/>
        <w:spacing w:before="75" w:after="75" w:line="40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、预算金额、最高限价：详见《采购标的一览表》。</w:t>
      </w:r>
      <w:r>
        <w:rPr>
          <w:rFonts w:ascii="宋体" w:hAnsi="宋体" w:eastAsia="宋体" w:cs="宋体"/>
          <w:kern w:val="0"/>
          <w:sz w:val="24"/>
          <w:szCs w:val="24"/>
        </w:rPr>
        <w:br w:type="textWrapping"/>
      </w:r>
      <w:r>
        <w:rPr>
          <w:rFonts w:ascii="宋体" w:hAnsi="宋体" w:eastAsia="宋体" w:cs="宋体"/>
          <w:kern w:val="0"/>
          <w:sz w:val="24"/>
          <w:szCs w:val="24"/>
        </w:rPr>
        <w:t>  </w:t>
      </w:r>
      <w:r>
        <w:rPr>
          <w:rFonts w:hint="eastAsia" w:ascii="宋体" w:hAnsi="宋体" w:eastAsia="宋体" w:cs="宋体"/>
          <w:kern w:val="0"/>
          <w:sz w:val="24"/>
          <w:szCs w:val="24"/>
        </w:rPr>
        <w:t>3</w:t>
      </w:r>
      <w:r>
        <w:rPr>
          <w:rFonts w:ascii="宋体" w:hAnsi="宋体" w:eastAsia="宋体" w:cs="宋体"/>
          <w:kern w:val="0"/>
          <w:sz w:val="24"/>
          <w:szCs w:val="24"/>
        </w:rPr>
        <w:t>、招标内容及要求：详见《采购标的一览表》及招标文件第五章。</w:t>
      </w:r>
    </w:p>
    <w:p>
      <w:pPr>
        <w:widowControl/>
        <w:spacing w:before="75" w:after="75" w:line="40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、需要落实的政府采购政策：进口产品，</w:t>
      </w:r>
      <w:r>
        <w:rPr>
          <w:rFonts w:hint="eastAsia" w:ascii="宋体" w:hAnsi="宋体" w:eastAsia="宋体" w:cs="宋体"/>
          <w:kern w:val="0"/>
          <w:sz w:val="24"/>
          <w:szCs w:val="24"/>
        </w:rPr>
        <w:t>不</w:t>
      </w:r>
      <w:r>
        <w:rPr>
          <w:rFonts w:ascii="宋体" w:hAnsi="宋体" w:eastAsia="宋体" w:cs="宋体"/>
          <w:kern w:val="0"/>
          <w:sz w:val="24"/>
          <w:szCs w:val="24"/>
        </w:rPr>
        <w:t>适用。节能产品，适用于合同包1，按照</w:t>
      </w:r>
      <w:r>
        <w:rPr>
          <w:rFonts w:hint="eastAsia" w:ascii="宋体" w:hAnsi="宋体" w:eastAsia="宋体" w:cs="宋体"/>
          <w:kern w:val="0"/>
          <w:sz w:val="24"/>
          <w:szCs w:val="24"/>
        </w:rPr>
        <w:t>财政部</w:t>
      </w:r>
      <w:r>
        <w:rPr>
          <w:rFonts w:ascii="宋体" w:hAnsi="宋体" w:eastAsia="宋体" w:cs="宋体"/>
          <w:kern w:val="0"/>
          <w:sz w:val="24"/>
          <w:szCs w:val="24"/>
        </w:rPr>
        <w:t>最新节能清单执行。小型、微型企业，适用于合同包1。信用记录，适用于合同包1，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w:t>
      </w:r>
      <w:r>
        <w:rPr>
          <w:rFonts w:hint="eastAsia" w:ascii="宋体" w:hAnsi="宋体" w:eastAsia="宋体" w:cs="宋体"/>
          <w:kern w:val="0"/>
          <w:sz w:val="24"/>
          <w:szCs w:val="24"/>
        </w:rPr>
        <w:t>①</w:t>
      </w:r>
      <w:r>
        <w:rPr>
          <w:rFonts w:ascii="宋体" w:hAnsi="宋体" w:eastAsia="宋体" w:cs="宋体"/>
          <w:kern w:val="0"/>
          <w:sz w:val="24"/>
          <w:szCs w:val="24"/>
        </w:rPr>
        <w:t>由资格审查小组通过上述网站查询并打印投标人信用记录（以下简称：“资格审查小组的查询结果”）。</w:t>
      </w:r>
      <w:r>
        <w:rPr>
          <w:rFonts w:hint="eastAsia" w:ascii="宋体" w:hAnsi="宋体" w:eastAsia="宋体" w:cs="宋体"/>
          <w:kern w:val="0"/>
          <w:sz w:val="24"/>
          <w:szCs w:val="24"/>
        </w:rPr>
        <w:t>②</w:t>
      </w:r>
      <w:r>
        <w:rPr>
          <w:rFonts w:ascii="宋体" w:hAnsi="宋体" w:eastAsia="宋体" w:cs="宋体"/>
          <w:kern w:val="0"/>
          <w:sz w:val="24"/>
          <w:szCs w:val="24"/>
        </w:rPr>
        <w:t>投标人提供的查询结果与资格审查小组的查询结果不一致的，以资格审查小组的查询结果为准。</w:t>
      </w:r>
      <w:r>
        <w:rPr>
          <w:rFonts w:hint="eastAsia" w:ascii="宋体" w:hAnsi="宋体" w:eastAsia="宋体" w:cs="宋体"/>
          <w:kern w:val="0"/>
          <w:sz w:val="24"/>
          <w:szCs w:val="24"/>
        </w:rPr>
        <w:t>③</w:t>
      </w:r>
      <w:r>
        <w:rPr>
          <w:rFonts w:ascii="宋体" w:hAnsi="宋体" w:eastAsia="宋体" w:cs="宋体"/>
          <w:kern w:val="0"/>
          <w:sz w:val="24"/>
          <w:szCs w:val="24"/>
        </w:rPr>
        <w:t>因上述网站原因导致资格审查小组无法查询投标人信用记录的（资格审查小组应将通过上述网站查询投标人信用记录时的原始页面打印后随采购文件一并存档），以投标人提供的查询结果为准。</w:t>
      </w:r>
      <w:r>
        <w:rPr>
          <w:rFonts w:hint="eastAsia" w:ascii="宋体" w:hAnsi="宋体" w:eastAsia="宋体" w:cs="宋体"/>
          <w:kern w:val="0"/>
          <w:sz w:val="24"/>
          <w:szCs w:val="24"/>
        </w:rPr>
        <w:t>④</w:t>
      </w:r>
      <w:r>
        <w:rPr>
          <w:rFonts w:ascii="宋体" w:hAnsi="宋体" w:eastAsia="宋体" w:cs="宋体"/>
          <w:kern w:val="0"/>
          <w:sz w:val="24"/>
          <w:szCs w:val="24"/>
        </w:rPr>
        <w:t>查询结果存在投标人应被拒绝参与政府采购活动相关信息的，其资格审查不合格。</w:t>
      </w:r>
    </w:p>
    <w:p>
      <w:pPr>
        <w:widowControl/>
        <w:spacing w:before="75" w:after="75" w:line="40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5</w:t>
      </w:r>
      <w:r>
        <w:rPr>
          <w:rFonts w:ascii="宋体" w:hAnsi="宋体" w:eastAsia="宋体" w:cs="宋体"/>
          <w:kern w:val="0"/>
          <w:sz w:val="24"/>
          <w:szCs w:val="24"/>
        </w:rPr>
        <w:t>、投标人的资格要求</w:t>
      </w:r>
    </w:p>
    <w:p>
      <w:pPr>
        <w:widowControl/>
        <w:spacing w:before="75" w:after="75" w:line="40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5</w:t>
      </w:r>
      <w:r>
        <w:rPr>
          <w:rFonts w:ascii="宋体" w:hAnsi="宋体" w:eastAsia="宋体" w:cs="宋体"/>
          <w:kern w:val="0"/>
          <w:sz w:val="24"/>
          <w:szCs w:val="24"/>
        </w:rPr>
        <w:t>.1法定条件：符合政府采购法第二十二条第一款规定的条件。</w:t>
      </w:r>
    </w:p>
    <w:p>
      <w:pPr>
        <w:widowControl/>
        <w:spacing w:before="75" w:after="75" w:line="40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5</w:t>
      </w:r>
      <w:r>
        <w:rPr>
          <w:rFonts w:ascii="宋体" w:hAnsi="宋体" w:eastAsia="宋体" w:cs="宋体"/>
          <w:kern w:val="0"/>
          <w:sz w:val="24"/>
          <w:szCs w:val="24"/>
        </w:rPr>
        <w:t>.2特定条件：</w:t>
      </w:r>
      <w:r>
        <w:rPr>
          <w:rFonts w:ascii="宋体" w:hAnsi="宋体" w:eastAsia="宋体" w:cs="宋体"/>
          <w:kern w:val="0"/>
          <w:sz w:val="24"/>
          <w:szCs w:val="24"/>
        </w:rPr>
        <w:br w:type="textWrapping"/>
      </w:r>
      <w:r>
        <w:rPr>
          <w:rFonts w:ascii="宋体" w:hAnsi="宋体" w:eastAsia="宋体" w:cs="宋体"/>
          <w:b/>
          <w:bCs/>
          <w:kern w:val="0"/>
          <w:sz w:val="24"/>
          <w:szCs w:val="24"/>
        </w:rPr>
        <w:t>包：1</w:t>
      </w:r>
    </w:p>
    <w:tbl>
      <w:tblPr>
        <w:tblStyle w:val="16"/>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268"/>
        <w:gridCol w:w="506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960" w:type="pct"/>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ascii="宋体" w:hAnsi="宋体" w:eastAsia="宋体" w:cs="宋体"/>
                <w:b/>
                <w:bCs/>
                <w:kern w:val="0"/>
                <w:sz w:val="24"/>
                <w:szCs w:val="24"/>
              </w:rPr>
            </w:pPr>
            <w:r>
              <w:rPr>
                <w:rFonts w:ascii="宋体" w:hAnsi="宋体" w:eastAsia="宋体" w:cs="宋体"/>
                <w:b/>
                <w:bCs/>
                <w:kern w:val="0"/>
                <w:sz w:val="24"/>
                <w:szCs w:val="24"/>
              </w:rPr>
              <w:t>明细</w:t>
            </w:r>
          </w:p>
        </w:tc>
        <w:tc>
          <w:tcPr>
            <w:tcW w:w="3039" w:type="pct"/>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ascii="宋体" w:hAnsi="宋体" w:eastAsia="宋体" w:cs="宋体"/>
                <w:b/>
                <w:bCs/>
                <w:kern w:val="0"/>
                <w:sz w:val="24"/>
                <w:szCs w:val="24"/>
              </w:rPr>
            </w:pPr>
            <w:r>
              <w:rPr>
                <w:rFonts w:ascii="宋体" w:hAnsi="宋体" w:eastAsia="宋体" w:cs="宋体"/>
                <w:b/>
                <w:bCs/>
                <w:kern w:val="0"/>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960" w:type="pct"/>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ascii="宋体" w:hAnsi="宋体" w:eastAsia="宋体" w:cs="宋体"/>
                <w:kern w:val="0"/>
                <w:sz w:val="24"/>
                <w:szCs w:val="24"/>
              </w:rPr>
            </w:pPr>
            <w:r>
              <w:rPr>
                <w:rFonts w:ascii="宋体" w:hAnsi="宋体" w:eastAsia="宋体" w:cs="宋体"/>
                <w:kern w:val="0"/>
                <w:sz w:val="24"/>
                <w:szCs w:val="24"/>
              </w:rPr>
              <w:t>招标文件规定的其他资格证明文件（若有）</w:t>
            </w:r>
          </w:p>
        </w:tc>
        <w:tc>
          <w:tcPr>
            <w:tcW w:w="3039" w:type="pct"/>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ascii="宋体" w:hAnsi="宋体" w:eastAsia="宋体" w:cs="宋体"/>
                <w:kern w:val="0"/>
                <w:sz w:val="24"/>
                <w:szCs w:val="24"/>
              </w:rPr>
            </w:pPr>
            <w:r>
              <w:rPr>
                <w:rFonts w:hint="eastAsia" w:ascii="宋体" w:hAnsi="宋体" w:eastAsia="宋体" w:cs="宋体"/>
                <w:kern w:val="0"/>
                <w:sz w:val="24"/>
                <w:szCs w:val="24"/>
              </w:rPr>
              <w:t>投标人具有电子与智能化工程专业承包二级或以上资质，须提供相关资质材料扫描件并加盖投标人公章。</w:t>
            </w:r>
            <w:r>
              <w:rPr>
                <w:rFonts w:ascii="宋体" w:hAnsi="宋体" w:eastAsia="宋体" w:cs="宋体"/>
                <w:kern w:val="0"/>
                <w:sz w:val="24"/>
                <w:szCs w:val="24"/>
              </w:rPr>
              <w:t>※投标人应按照招标文件第七章规定提供。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960" w:type="pct"/>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ascii="宋体" w:hAnsi="宋体" w:eastAsia="宋体" w:cs="宋体"/>
                <w:kern w:val="0"/>
                <w:sz w:val="24"/>
                <w:szCs w:val="24"/>
              </w:rPr>
            </w:pPr>
            <w:r>
              <w:rPr>
                <w:rFonts w:ascii="宋体" w:hAnsi="宋体" w:eastAsia="宋体" w:cs="宋体"/>
                <w:kern w:val="0"/>
                <w:sz w:val="24"/>
                <w:szCs w:val="24"/>
              </w:rPr>
              <w:t>具备履行合同所必需设备和专业技术能力专项证明材料（若有）</w:t>
            </w:r>
          </w:p>
        </w:tc>
        <w:tc>
          <w:tcPr>
            <w:tcW w:w="3039" w:type="pct"/>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ascii="宋体" w:hAnsi="宋体" w:eastAsia="宋体" w:cs="宋体"/>
                <w:kern w:val="0"/>
                <w:sz w:val="24"/>
                <w:szCs w:val="24"/>
              </w:rPr>
            </w:pPr>
            <w:r>
              <w:rPr>
                <w:rFonts w:ascii="宋体" w:hAnsi="宋体" w:eastAsia="宋体" w:cs="宋体"/>
                <w:kern w:val="0"/>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widowControl/>
        <w:spacing w:before="75" w:after="75" w:line="400" w:lineRule="exact"/>
        <w:ind w:firstLine="480"/>
        <w:jc w:val="left"/>
        <w:rPr>
          <w:rFonts w:ascii="宋体" w:hAnsi="宋体" w:eastAsia="宋体" w:cs="宋体"/>
          <w:color w:val="000000" w:themeColor="text1"/>
          <w:kern w:val="0"/>
          <w:sz w:val="24"/>
          <w:szCs w:val="24"/>
        </w:rPr>
      </w:pPr>
      <w:r>
        <w:rPr>
          <w:rFonts w:hint="eastAsia" w:ascii="宋体" w:hAnsi="宋体" w:eastAsia="宋体" w:cs="宋体"/>
          <w:b/>
          <w:bCs/>
          <w:kern w:val="0"/>
          <w:sz w:val="24"/>
          <w:szCs w:val="24"/>
        </w:rPr>
        <w:t>5</w:t>
      </w:r>
      <w:r>
        <w:rPr>
          <w:rFonts w:ascii="宋体" w:hAnsi="宋体" w:eastAsia="宋体" w:cs="宋体"/>
          <w:b/>
          <w:bCs/>
          <w:kern w:val="0"/>
          <w:sz w:val="24"/>
          <w:szCs w:val="24"/>
        </w:rPr>
        <w:t>.3是否接受联合体投标：</w:t>
      </w:r>
      <w:r>
        <w:rPr>
          <w:rFonts w:ascii="宋体" w:hAnsi="宋体" w:eastAsia="宋体" w:cs="宋体"/>
          <w:b/>
          <w:bCs/>
          <w:color w:val="000000" w:themeColor="text1"/>
          <w:kern w:val="0"/>
          <w:sz w:val="24"/>
          <w:szCs w:val="24"/>
        </w:rPr>
        <w:t>接受</w:t>
      </w:r>
      <w:r>
        <w:rPr>
          <w:rFonts w:hint="eastAsia" w:ascii="宋体" w:hAnsi="宋体" w:eastAsia="宋体" w:cs="宋体"/>
          <w:b/>
          <w:bCs/>
          <w:color w:val="000000" w:themeColor="text1"/>
          <w:kern w:val="0"/>
          <w:sz w:val="24"/>
          <w:szCs w:val="24"/>
        </w:rPr>
        <w:t>不超过2家的供应商以联合体形式进行投标</w:t>
      </w:r>
      <w:r>
        <w:rPr>
          <w:rFonts w:ascii="宋体" w:hAnsi="宋体" w:eastAsia="宋体" w:cs="宋体"/>
          <w:b/>
          <w:bCs/>
          <w:color w:val="000000" w:themeColor="text1"/>
          <w:kern w:val="0"/>
          <w:sz w:val="24"/>
          <w:szCs w:val="24"/>
        </w:rPr>
        <w:t>。</w:t>
      </w:r>
    </w:p>
    <w:p>
      <w:pPr>
        <w:widowControl/>
        <w:spacing w:before="75" w:after="75" w:line="400" w:lineRule="exact"/>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根据上述资格要求，投标文件中应提交的“投标人的资格及资信证明文件”详见招标文件第四章。</w:t>
      </w:r>
    </w:p>
    <w:p>
      <w:pPr>
        <w:widowControl/>
        <w:spacing w:before="75" w:after="75" w:line="40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6</w:t>
      </w:r>
      <w:r>
        <w:rPr>
          <w:rFonts w:ascii="宋体" w:hAnsi="宋体" w:eastAsia="宋体" w:cs="宋体"/>
          <w:kern w:val="0"/>
          <w:sz w:val="24"/>
          <w:szCs w:val="24"/>
        </w:rPr>
        <w:t>、报名</w:t>
      </w:r>
    </w:p>
    <w:p>
      <w:pPr>
        <w:widowControl/>
        <w:spacing w:before="75" w:after="75" w:line="4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w:t>
      </w:r>
      <w:r>
        <w:rPr>
          <w:rFonts w:ascii="宋体" w:hAnsi="宋体" w:eastAsia="宋体" w:cs="宋体"/>
          <w:kern w:val="0"/>
          <w:sz w:val="24"/>
          <w:szCs w:val="24"/>
        </w:rPr>
        <w:t>.1报名期限：详见招标公告或更正公告（若有），若不一致，以更正公告（若有）为准。</w:t>
      </w:r>
    </w:p>
    <w:p>
      <w:pPr>
        <w:widowControl/>
        <w:spacing w:before="75" w:after="75" w:line="40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6</w:t>
      </w:r>
      <w:r>
        <w:rPr>
          <w:rFonts w:ascii="宋体" w:hAnsi="宋体" w:eastAsia="宋体" w:cs="宋体"/>
          <w:kern w:val="0"/>
          <w:sz w:val="24"/>
          <w:szCs w:val="24"/>
        </w:rPr>
        <w:t>.2报名期限内，供应商应</w:t>
      </w:r>
      <w:r>
        <w:rPr>
          <w:rFonts w:hint="eastAsia" w:ascii="宋体" w:hAnsi="宋体" w:eastAsia="宋体" w:cs="宋体"/>
          <w:kern w:val="0"/>
          <w:sz w:val="24"/>
          <w:szCs w:val="24"/>
        </w:rPr>
        <w:t>通过现场或对公转账（汇款）的方式进行报名（地址:福建省泉州市丰泽区温陵南路92号福华商厦写字楼14楼E座，汇款帐户详见下方）</w:t>
      </w:r>
      <w:r>
        <w:rPr>
          <w:rFonts w:ascii="宋体" w:hAnsi="宋体" w:eastAsia="宋体" w:cs="宋体"/>
          <w:kern w:val="0"/>
          <w:sz w:val="24"/>
          <w:szCs w:val="24"/>
        </w:rPr>
        <w:t>，</w:t>
      </w:r>
      <w:r>
        <w:rPr>
          <w:rFonts w:ascii="宋体" w:hAnsi="宋体" w:eastAsia="宋体" w:cs="宋体"/>
          <w:b/>
          <w:bCs/>
          <w:kern w:val="0"/>
          <w:sz w:val="24"/>
          <w:szCs w:val="24"/>
        </w:rPr>
        <w:t>否则投标将被拒绝。</w:t>
      </w:r>
    </w:p>
    <w:p>
      <w:pPr>
        <w:widowControl/>
        <w:spacing w:before="75" w:after="75" w:line="40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7</w:t>
      </w:r>
      <w:r>
        <w:rPr>
          <w:rFonts w:ascii="宋体" w:hAnsi="宋体" w:eastAsia="宋体" w:cs="宋体"/>
          <w:kern w:val="0"/>
          <w:sz w:val="24"/>
          <w:szCs w:val="24"/>
        </w:rPr>
        <w:t>、招标文件的获取</w:t>
      </w:r>
    </w:p>
    <w:p>
      <w:pPr>
        <w:widowControl/>
        <w:spacing w:before="75" w:after="75" w:line="40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7</w:t>
      </w:r>
      <w:r>
        <w:rPr>
          <w:rFonts w:ascii="宋体" w:hAnsi="宋体" w:eastAsia="宋体" w:cs="宋体"/>
          <w:kern w:val="0"/>
          <w:sz w:val="24"/>
          <w:szCs w:val="24"/>
        </w:rPr>
        <w:t>.1招标文件提供期限：</w:t>
      </w:r>
      <w:r>
        <w:rPr>
          <w:rFonts w:hint="eastAsia" w:ascii="宋体" w:hAnsi="宋体" w:eastAsia="宋体" w:cs="宋体"/>
          <w:kern w:val="0"/>
          <w:sz w:val="24"/>
          <w:szCs w:val="24"/>
        </w:rPr>
        <w:t>2021年</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月5日至2021年</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日</w:t>
      </w:r>
      <w:r>
        <w:rPr>
          <w:rFonts w:ascii="宋体" w:hAnsi="宋体" w:eastAsia="宋体" w:cs="宋体"/>
          <w:kern w:val="0"/>
          <w:sz w:val="24"/>
          <w:szCs w:val="24"/>
        </w:rPr>
        <w:t>，若</w:t>
      </w:r>
      <w:r>
        <w:rPr>
          <w:rFonts w:hint="eastAsia" w:ascii="宋体" w:hAnsi="宋体" w:eastAsia="宋体" w:cs="宋体"/>
          <w:kern w:val="0"/>
          <w:sz w:val="24"/>
          <w:szCs w:val="24"/>
        </w:rPr>
        <w:t>有变动</w:t>
      </w:r>
      <w:r>
        <w:rPr>
          <w:rFonts w:ascii="宋体" w:hAnsi="宋体" w:eastAsia="宋体" w:cs="宋体"/>
          <w:kern w:val="0"/>
          <w:sz w:val="24"/>
          <w:szCs w:val="24"/>
        </w:rPr>
        <w:t>，以更正公告（若有）为准。</w:t>
      </w:r>
    </w:p>
    <w:p>
      <w:pPr>
        <w:widowControl/>
        <w:spacing w:before="75" w:after="75" w:line="400" w:lineRule="exact"/>
        <w:ind w:firstLine="480"/>
        <w:jc w:val="left"/>
        <w:rPr>
          <w:rFonts w:hAnsi="宋体"/>
          <w:color w:val="000000" w:themeColor="text1"/>
          <w:spacing w:val="-2"/>
          <w:sz w:val="24"/>
        </w:rPr>
      </w:pPr>
      <w:r>
        <w:rPr>
          <w:rFonts w:hint="eastAsia" w:ascii="宋体" w:hAnsi="宋体" w:eastAsia="宋体" w:cs="宋体"/>
          <w:kern w:val="0"/>
          <w:sz w:val="24"/>
          <w:szCs w:val="24"/>
        </w:rPr>
        <w:t>7</w:t>
      </w:r>
      <w:r>
        <w:rPr>
          <w:rFonts w:ascii="宋体" w:hAnsi="宋体" w:eastAsia="宋体" w:cs="宋体"/>
          <w:kern w:val="0"/>
          <w:sz w:val="24"/>
          <w:szCs w:val="24"/>
        </w:rPr>
        <w:t>.2获取地点及方式</w:t>
      </w:r>
      <w:r>
        <w:rPr>
          <w:rFonts w:ascii="宋体" w:hAnsi="宋体" w:eastAsia="宋体" w:cs="宋体"/>
          <w:color w:val="000000" w:themeColor="text1"/>
          <w:kern w:val="0"/>
          <w:sz w:val="24"/>
          <w:szCs w:val="24"/>
        </w:rPr>
        <w:t>：</w:t>
      </w:r>
      <w:r>
        <w:rPr>
          <w:rFonts w:hint="eastAsia" w:hAnsi="宋体"/>
          <w:color w:val="000000" w:themeColor="text1"/>
          <w:spacing w:val="-2"/>
          <w:sz w:val="24"/>
        </w:rPr>
        <w:t>泉州市丰泽区泉秀路福华商厦（大洋百货</w:t>
      </w:r>
      <w:r>
        <w:rPr>
          <w:rFonts w:hAnsi="宋体"/>
          <w:color w:val="000000" w:themeColor="text1"/>
          <w:spacing w:val="-2"/>
          <w:sz w:val="24"/>
        </w:rPr>
        <w:t>）</w:t>
      </w:r>
      <w:r>
        <w:rPr>
          <w:rFonts w:hint="eastAsia" w:hAnsi="宋体"/>
          <w:color w:val="000000" w:themeColor="text1"/>
          <w:spacing w:val="-2"/>
          <w:sz w:val="24"/>
        </w:rPr>
        <w:t>写字楼14E。</w:t>
      </w:r>
    </w:p>
    <w:p>
      <w:pPr>
        <w:widowControl/>
        <w:spacing w:before="75" w:after="75" w:line="400" w:lineRule="exact"/>
        <w:ind w:firstLine="48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7</w:t>
      </w:r>
      <w:r>
        <w:rPr>
          <w:rFonts w:ascii="宋体" w:hAnsi="宋体" w:eastAsia="宋体" w:cs="宋体"/>
          <w:color w:val="000000" w:themeColor="text1"/>
          <w:kern w:val="0"/>
          <w:sz w:val="24"/>
          <w:szCs w:val="24"/>
        </w:rPr>
        <w:t>.3、招标文件售价：</w:t>
      </w:r>
      <w:r>
        <w:rPr>
          <w:rFonts w:hint="eastAsia" w:ascii="宋体" w:hAnsi="宋体" w:eastAsia="宋体" w:cs="宋体"/>
          <w:color w:val="000000" w:themeColor="text1"/>
          <w:kern w:val="0"/>
          <w:sz w:val="24"/>
          <w:szCs w:val="24"/>
        </w:rPr>
        <w:t>30</w:t>
      </w:r>
      <w:r>
        <w:rPr>
          <w:rFonts w:ascii="Times New Roman" w:hAnsi="Times New Roman" w:eastAsia="宋体" w:cs="Times New Roman"/>
          <w:color w:val="000000" w:themeColor="text1"/>
          <w:kern w:val="0"/>
          <w:sz w:val="24"/>
          <w:szCs w:val="24"/>
        </w:rPr>
        <w:t>0</w:t>
      </w:r>
      <w:r>
        <w:rPr>
          <w:rFonts w:ascii="宋体" w:hAnsi="宋体" w:eastAsia="宋体" w:cs="宋体"/>
          <w:color w:val="000000" w:themeColor="text1"/>
          <w:kern w:val="0"/>
          <w:sz w:val="24"/>
          <w:szCs w:val="24"/>
        </w:rPr>
        <w:t>元</w:t>
      </w:r>
      <w:r>
        <w:rPr>
          <w:rFonts w:hint="eastAsia" w:ascii="宋体" w:hAnsi="宋体" w:eastAsia="宋体" w:cs="宋体"/>
          <w:color w:val="000000" w:themeColor="text1"/>
          <w:kern w:val="0"/>
          <w:sz w:val="24"/>
          <w:szCs w:val="24"/>
          <w:lang w:val="en-US" w:eastAsia="zh-CN"/>
        </w:rPr>
        <w:t>(本项目原公告期间已购买的供应商可免费索取新文件）</w:t>
      </w:r>
      <w:r>
        <w:rPr>
          <w:rFonts w:ascii="宋体" w:hAnsi="宋体" w:eastAsia="宋体" w:cs="宋体"/>
          <w:color w:val="000000" w:themeColor="text1"/>
          <w:kern w:val="0"/>
          <w:sz w:val="24"/>
          <w:szCs w:val="24"/>
        </w:rPr>
        <w:t>。</w:t>
      </w:r>
    </w:p>
    <w:p>
      <w:pPr>
        <w:widowControl/>
        <w:spacing w:before="75" w:after="75" w:line="400" w:lineRule="exact"/>
        <w:ind w:firstLine="48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8</w:t>
      </w:r>
      <w:r>
        <w:rPr>
          <w:rFonts w:ascii="宋体" w:hAnsi="宋体" w:eastAsia="宋体" w:cs="宋体"/>
          <w:color w:val="000000" w:themeColor="text1"/>
          <w:kern w:val="0"/>
          <w:sz w:val="24"/>
          <w:szCs w:val="24"/>
        </w:rPr>
        <w:t>、投标截止</w:t>
      </w:r>
    </w:p>
    <w:p>
      <w:pPr>
        <w:widowControl/>
        <w:spacing w:before="75" w:after="75" w:line="400" w:lineRule="exact"/>
        <w:ind w:firstLine="48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8</w:t>
      </w:r>
      <w:r>
        <w:rPr>
          <w:rFonts w:ascii="宋体" w:hAnsi="宋体" w:eastAsia="宋体" w:cs="宋体"/>
          <w:color w:val="000000" w:themeColor="text1"/>
          <w:kern w:val="0"/>
          <w:sz w:val="24"/>
          <w:szCs w:val="24"/>
        </w:rPr>
        <w:t>.1投标截止时间：详见招标公告或更正公告（若有），若不一致，以更正公告（若有）为准。</w:t>
      </w:r>
    </w:p>
    <w:p>
      <w:pPr>
        <w:widowControl/>
        <w:spacing w:before="75" w:after="75" w:line="400" w:lineRule="exact"/>
        <w:ind w:firstLine="48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8</w:t>
      </w:r>
      <w:r>
        <w:rPr>
          <w:rFonts w:ascii="宋体" w:hAnsi="宋体" w:eastAsia="宋体" w:cs="宋体"/>
          <w:color w:val="000000" w:themeColor="text1"/>
          <w:kern w:val="0"/>
          <w:sz w:val="24"/>
          <w:szCs w:val="24"/>
        </w:rPr>
        <w:t>.2投标人应在投标截止时间前将</w:t>
      </w:r>
      <w:r>
        <w:rPr>
          <w:rFonts w:hint="eastAsia" w:ascii="宋体" w:hAnsi="宋体" w:eastAsia="宋体" w:cs="宋体"/>
          <w:color w:val="000000" w:themeColor="text1"/>
          <w:kern w:val="0"/>
          <w:sz w:val="24"/>
          <w:szCs w:val="24"/>
        </w:rPr>
        <w:t>按规定</w:t>
      </w:r>
      <w:r>
        <w:rPr>
          <w:rFonts w:ascii="宋体" w:hAnsi="宋体" w:eastAsia="宋体" w:cs="宋体"/>
          <w:b/>
          <w:bCs/>
          <w:color w:val="000000" w:themeColor="text1"/>
          <w:kern w:val="0"/>
          <w:sz w:val="24"/>
          <w:szCs w:val="24"/>
        </w:rPr>
        <w:t>密封的纸质投标文件</w:t>
      </w:r>
      <w:r>
        <w:rPr>
          <w:rFonts w:ascii="宋体" w:hAnsi="宋体" w:eastAsia="宋体" w:cs="宋体"/>
          <w:color w:val="000000" w:themeColor="text1"/>
          <w:kern w:val="0"/>
          <w:sz w:val="24"/>
          <w:szCs w:val="24"/>
        </w:rPr>
        <w:t>送达招标文件载明的</w:t>
      </w:r>
      <w:r>
        <w:rPr>
          <w:rFonts w:hint="eastAsia" w:ascii="宋体" w:hAnsi="宋体" w:eastAsia="宋体" w:cs="宋体"/>
          <w:color w:val="000000" w:themeColor="text1"/>
          <w:kern w:val="0"/>
          <w:sz w:val="24"/>
          <w:szCs w:val="24"/>
        </w:rPr>
        <w:t>投标</w:t>
      </w:r>
      <w:r>
        <w:rPr>
          <w:rFonts w:ascii="宋体" w:hAnsi="宋体" w:eastAsia="宋体" w:cs="宋体"/>
          <w:color w:val="000000" w:themeColor="text1"/>
          <w:kern w:val="0"/>
          <w:sz w:val="24"/>
          <w:szCs w:val="24"/>
        </w:rPr>
        <w:t>地点，否则</w:t>
      </w:r>
      <w:r>
        <w:rPr>
          <w:rFonts w:ascii="宋体" w:hAnsi="宋体" w:eastAsia="宋体" w:cs="宋体"/>
          <w:b/>
          <w:bCs/>
          <w:color w:val="000000" w:themeColor="text1"/>
          <w:kern w:val="0"/>
          <w:sz w:val="24"/>
          <w:szCs w:val="24"/>
        </w:rPr>
        <w:t>投标将被拒绝。</w:t>
      </w:r>
    </w:p>
    <w:p>
      <w:pPr>
        <w:widowControl/>
        <w:spacing w:before="75" w:after="75" w:line="400" w:lineRule="exact"/>
        <w:ind w:firstLine="480"/>
        <w:jc w:val="left"/>
        <w:rPr>
          <w:rFonts w:hAnsi="宋体"/>
          <w:color w:val="000000" w:themeColor="text1"/>
          <w:spacing w:val="-2"/>
          <w:sz w:val="24"/>
        </w:rPr>
      </w:pPr>
      <w:r>
        <w:rPr>
          <w:rFonts w:hint="eastAsia" w:ascii="宋体" w:hAnsi="宋体" w:eastAsia="宋体" w:cs="宋体"/>
          <w:color w:val="000000" w:themeColor="text1"/>
          <w:kern w:val="0"/>
          <w:sz w:val="24"/>
          <w:szCs w:val="24"/>
        </w:rPr>
        <w:t>9</w:t>
      </w:r>
      <w:r>
        <w:rPr>
          <w:rFonts w:ascii="宋体" w:hAnsi="宋体" w:eastAsia="宋体" w:cs="宋体"/>
          <w:color w:val="000000" w:themeColor="text1"/>
          <w:kern w:val="0"/>
          <w:sz w:val="24"/>
          <w:szCs w:val="24"/>
        </w:rPr>
        <w:t>、开标时间及地点</w:t>
      </w:r>
      <w:r>
        <w:rPr>
          <w:rFonts w:hint="eastAsia" w:ascii="宋体" w:hAnsi="宋体" w:eastAsia="宋体" w:cs="宋体"/>
          <w:color w:val="000000" w:themeColor="text1"/>
          <w:kern w:val="0"/>
          <w:sz w:val="24"/>
          <w:szCs w:val="24"/>
        </w:rPr>
        <w:t>：2021年</w:t>
      </w:r>
      <w:r>
        <w:rPr>
          <w:rFonts w:hint="eastAsia" w:ascii="宋体" w:hAnsi="宋体" w:eastAsia="宋体" w:cs="宋体"/>
          <w:color w:val="000000" w:themeColor="text1"/>
          <w:kern w:val="0"/>
          <w:sz w:val="24"/>
          <w:szCs w:val="24"/>
          <w:lang w:val="en-US" w:eastAsia="zh-CN"/>
        </w:rPr>
        <w:t>4</w:t>
      </w:r>
      <w:r>
        <w:rPr>
          <w:rFonts w:hint="eastAsia" w:ascii="宋体" w:hAnsi="宋体" w:eastAsia="宋体" w:cs="宋体"/>
          <w:color w:val="000000" w:themeColor="text1"/>
          <w:kern w:val="0"/>
          <w:sz w:val="24"/>
          <w:szCs w:val="24"/>
        </w:rPr>
        <w:t>月</w:t>
      </w:r>
      <w:r>
        <w:rPr>
          <w:rFonts w:hint="eastAsia" w:ascii="宋体" w:hAnsi="宋体" w:eastAsia="宋体" w:cs="宋体"/>
          <w:color w:val="000000" w:themeColor="text1"/>
          <w:kern w:val="0"/>
          <w:sz w:val="24"/>
          <w:szCs w:val="24"/>
          <w:lang w:val="en-US" w:eastAsia="zh-CN"/>
        </w:rPr>
        <w:t>1</w:t>
      </w:r>
      <w:r>
        <w:rPr>
          <w:rFonts w:hint="eastAsia" w:ascii="宋体" w:hAnsi="宋体" w:eastAsia="宋体" w:cs="宋体"/>
          <w:color w:val="000000" w:themeColor="text1"/>
          <w:kern w:val="0"/>
          <w:sz w:val="24"/>
          <w:szCs w:val="24"/>
        </w:rPr>
        <w:t>日</w:t>
      </w:r>
      <w:r>
        <w:rPr>
          <w:rFonts w:hint="eastAsia" w:ascii="宋体" w:hAnsi="宋体" w:eastAsia="宋体" w:cs="宋体"/>
          <w:color w:val="000000" w:themeColor="text1"/>
          <w:kern w:val="0"/>
          <w:sz w:val="24"/>
          <w:szCs w:val="24"/>
          <w:lang w:val="en-US" w:eastAsia="zh-CN"/>
        </w:rPr>
        <w:t>9</w:t>
      </w:r>
      <w:r>
        <w:rPr>
          <w:rFonts w:hint="eastAsia" w:ascii="宋体" w:hAnsi="宋体" w:eastAsia="宋体" w:cs="宋体"/>
          <w:color w:val="000000" w:themeColor="text1"/>
          <w:kern w:val="0"/>
          <w:sz w:val="24"/>
          <w:szCs w:val="24"/>
        </w:rPr>
        <w:t>：</w:t>
      </w:r>
      <w:r>
        <w:rPr>
          <w:rFonts w:hint="eastAsia" w:ascii="宋体" w:hAnsi="宋体" w:eastAsia="宋体" w:cs="宋体"/>
          <w:color w:val="000000" w:themeColor="text1"/>
          <w:kern w:val="0"/>
          <w:sz w:val="24"/>
          <w:szCs w:val="24"/>
          <w:lang w:val="en-US" w:eastAsia="zh-CN"/>
        </w:rPr>
        <w:t>0</w:t>
      </w:r>
      <w:r>
        <w:rPr>
          <w:rFonts w:hint="eastAsia" w:ascii="宋体" w:hAnsi="宋体" w:eastAsia="宋体" w:cs="宋体"/>
          <w:color w:val="000000" w:themeColor="text1"/>
          <w:kern w:val="0"/>
          <w:sz w:val="24"/>
          <w:szCs w:val="24"/>
        </w:rPr>
        <w:t>0（北京时间）</w:t>
      </w:r>
      <w:r>
        <w:rPr>
          <w:rFonts w:hint="eastAsia" w:ascii="宋体" w:hAnsi="宋体" w:cs="宋体"/>
          <w:color w:val="000000"/>
          <w:kern w:val="0"/>
          <w:szCs w:val="21"/>
        </w:rPr>
        <w:t>在</w:t>
      </w:r>
      <w:r>
        <w:rPr>
          <w:rFonts w:hint="eastAsia" w:hAnsi="宋体"/>
          <w:color w:val="000000" w:themeColor="text1"/>
          <w:spacing w:val="-2"/>
          <w:sz w:val="24"/>
        </w:rPr>
        <w:t>泉州市丰泽区温陵南路92号福华商厦（大洋百货</w:t>
      </w:r>
      <w:r>
        <w:rPr>
          <w:rFonts w:hAnsi="宋体"/>
          <w:color w:val="000000" w:themeColor="text1"/>
          <w:spacing w:val="-2"/>
          <w:sz w:val="24"/>
        </w:rPr>
        <w:t>）</w:t>
      </w:r>
      <w:r>
        <w:rPr>
          <w:rFonts w:hint="eastAsia" w:hAnsi="宋体"/>
          <w:color w:val="000000" w:themeColor="text1"/>
          <w:spacing w:val="-2"/>
          <w:sz w:val="24"/>
        </w:rPr>
        <w:t>写字楼14D开标</w:t>
      </w:r>
      <w:r>
        <w:rPr>
          <w:rFonts w:hint="eastAsia" w:hAnsi="宋体"/>
          <w:color w:val="000000" w:themeColor="text1"/>
          <w:spacing w:val="-2"/>
          <w:sz w:val="24"/>
          <w:lang w:eastAsia="zh-CN"/>
        </w:rPr>
        <w:t>（以公告为准）</w:t>
      </w:r>
      <w:r>
        <w:rPr>
          <w:rFonts w:hint="eastAsia" w:hAnsi="宋体"/>
          <w:color w:val="000000" w:themeColor="text1"/>
          <w:spacing w:val="-2"/>
          <w:sz w:val="24"/>
        </w:rPr>
        <w:t>。</w:t>
      </w:r>
    </w:p>
    <w:p>
      <w:pPr>
        <w:widowControl/>
        <w:spacing w:before="75" w:after="75" w:line="400" w:lineRule="exac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0</w:t>
      </w:r>
      <w:r>
        <w:rPr>
          <w:rFonts w:ascii="宋体" w:hAnsi="宋体" w:eastAsia="宋体" w:cs="宋体"/>
          <w:color w:val="000000" w:themeColor="text1"/>
          <w:kern w:val="0"/>
          <w:sz w:val="24"/>
          <w:szCs w:val="24"/>
        </w:rPr>
        <w:t>、公告期限</w:t>
      </w:r>
    </w:p>
    <w:p>
      <w:pPr>
        <w:widowControl/>
        <w:spacing w:before="75" w:after="75" w:line="400" w:lineRule="exact"/>
        <w:ind w:firstLine="480"/>
        <w:jc w:val="left"/>
        <w:rPr>
          <w:rFonts w:ascii="宋体" w:hAnsi="宋体" w:eastAsia="宋体" w:cs="宋体"/>
          <w:kern w:val="0"/>
          <w:sz w:val="24"/>
          <w:szCs w:val="24"/>
        </w:rPr>
      </w:pP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0</w:t>
      </w:r>
      <w:r>
        <w:rPr>
          <w:rFonts w:ascii="宋体" w:hAnsi="宋体" w:eastAsia="宋体" w:cs="宋体"/>
          <w:color w:val="000000" w:themeColor="text1"/>
          <w:kern w:val="0"/>
          <w:sz w:val="24"/>
          <w:szCs w:val="24"/>
        </w:rPr>
        <w:t>.1招标公告的公告期限：自</w:t>
      </w:r>
      <w:r>
        <w:rPr>
          <w:rFonts w:hint="eastAsia" w:ascii="宋体" w:hAnsi="宋体" w:eastAsia="宋体" w:cs="宋体"/>
          <w:color w:val="000000" w:themeColor="text1"/>
          <w:kern w:val="0"/>
          <w:sz w:val="24"/>
          <w:szCs w:val="24"/>
        </w:rPr>
        <w:t>中国政府采购网（</w:t>
      </w:r>
      <w:r>
        <w:rPr>
          <w:rFonts w:ascii="宋体" w:hAnsi="宋体" w:eastAsia="宋体" w:cs="宋体"/>
          <w:kern w:val="0"/>
          <w:sz w:val="24"/>
          <w:szCs w:val="24"/>
        </w:rPr>
        <w:t>www.ccgp.gov.cn</w:t>
      </w:r>
      <w:r>
        <w:rPr>
          <w:rFonts w:hint="eastAsia" w:ascii="宋体" w:hAnsi="宋体" w:eastAsia="宋体" w:cs="宋体"/>
          <w:kern w:val="0"/>
          <w:sz w:val="24"/>
          <w:szCs w:val="24"/>
        </w:rPr>
        <w:t>）</w:t>
      </w:r>
      <w:r>
        <w:rPr>
          <w:rFonts w:ascii="宋体" w:hAnsi="宋体" w:eastAsia="宋体" w:cs="宋体"/>
          <w:kern w:val="0"/>
          <w:sz w:val="24"/>
          <w:szCs w:val="24"/>
        </w:rPr>
        <w:t>发布公告之日起</w:t>
      </w:r>
      <w:r>
        <w:rPr>
          <w:rFonts w:ascii="Times New Roman" w:hAnsi="Times New Roman" w:eastAsia="宋体" w:cs="Times New Roman"/>
          <w:kern w:val="0"/>
          <w:sz w:val="24"/>
          <w:szCs w:val="24"/>
        </w:rPr>
        <w:t>5</w:t>
      </w:r>
      <w:r>
        <w:rPr>
          <w:rFonts w:ascii="宋体" w:hAnsi="宋体" w:eastAsia="宋体" w:cs="宋体"/>
          <w:kern w:val="0"/>
          <w:sz w:val="24"/>
          <w:szCs w:val="24"/>
        </w:rPr>
        <w:t>个工作日。</w:t>
      </w:r>
    </w:p>
    <w:p>
      <w:pPr>
        <w:pStyle w:val="2"/>
        <w:rPr>
          <w:rFonts w:eastAsia="宋体"/>
        </w:rPr>
      </w:pPr>
      <w:r>
        <w:rPr>
          <w:rFonts w:hint="eastAsia" w:ascii="宋体" w:hAnsi="宋体" w:eastAsia="宋体" w:cs="宋体"/>
          <w:kern w:val="0"/>
          <w:sz w:val="24"/>
          <w:szCs w:val="24"/>
        </w:rPr>
        <w:t xml:space="preserve">    10.2招标文件的公告期限：与本章10.1条款保持一致。</w:t>
      </w:r>
    </w:p>
    <w:p>
      <w:pPr>
        <w:widowControl/>
        <w:numPr>
          <w:ilvl w:val="0"/>
          <w:numId w:val="1"/>
        </w:numPr>
        <w:spacing w:before="75" w:after="75" w:line="400" w:lineRule="exact"/>
        <w:ind w:firstLine="480"/>
        <w:jc w:val="left"/>
        <w:rPr>
          <w:rFonts w:ascii="宋体" w:hAnsi="宋体" w:eastAsia="宋体" w:cs="宋体"/>
          <w:kern w:val="0"/>
          <w:sz w:val="24"/>
          <w:szCs w:val="24"/>
        </w:rPr>
      </w:pPr>
      <w:r>
        <w:rPr>
          <w:rFonts w:ascii="宋体" w:hAnsi="宋体" w:eastAsia="宋体" w:cs="宋体"/>
          <w:kern w:val="0"/>
          <w:sz w:val="24"/>
          <w:szCs w:val="24"/>
        </w:rPr>
        <w:t>采购人：</w:t>
      </w:r>
      <w:r>
        <w:rPr>
          <w:rFonts w:hint="eastAsia" w:ascii="宋体" w:hAnsi="宋体" w:eastAsia="宋体" w:cs="宋体"/>
          <w:kern w:val="0"/>
          <w:sz w:val="24"/>
          <w:szCs w:val="24"/>
        </w:rPr>
        <w:t>福建省石狮服装轻纺名城运营有限公司</w:t>
      </w:r>
    </w:p>
    <w:p>
      <w:pPr>
        <w:widowControl/>
        <w:numPr>
          <w:ilvl w:val="0"/>
          <w:numId w:val="1"/>
        </w:numPr>
        <w:spacing w:before="75" w:after="75" w:line="400" w:lineRule="exact"/>
        <w:ind w:firstLine="480"/>
        <w:jc w:val="left"/>
        <w:rPr>
          <w:rFonts w:ascii="宋体" w:hAnsi="宋体" w:eastAsia="宋体" w:cs="宋体"/>
          <w:kern w:val="0"/>
          <w:sz w:val="24"/>
          <w:szCs w:val="24"/>
        </w:rPr>
      </w:pPr>
      <w:r>
        <w:rPr>
          <w:rFonts w:ascii="宋体" w:hAnsi="宋体" w:eastAsia="宋体" w:cs="宋体"/>
          <w:kern w:val="0"/>
          <w:sz w:val="24"/>
          <w:szCs w:val="24"/>
        </w:rPr>
        <w:t>地址：</w:t>
      </w:r>
      <w:r>
        <w:rPr>
          <w:rFonts w:hint="eastAsia" w:ascii="宋体" w:hAnsi="宋体" w:eastAsia="宋体" w:cs="宋体"/>
          <w:kern w:val="0"/>
          <w:sz w:val="24"/>
          <w:szCs w:val="24"/>
        </w:rPr>
        <w:t>石狮市石龙路服装城综合服务中心大楼七楼</w:t>
      </w:r>
    </w:p>
    <w:p>
      <w:pPr>
        <w:widowControl/>
        <w:spacing w:before="75" w:after="75" w:line="400" w:lineRule="exact"/>
        <w:ind w:firstLine="480"/>
        <w:jc w:val="left"/>
        <w:rPr>
          <w:rFonts w:hint="default" w:ascii="宋体" w:hAnsi="宋体" w:eastAsia="宋体" w:cs="宋体"/>
          <w:kern w:val="0"/>
          <w:sz w:val="24"/>
          <w:szCs w:val="24"/>
          <w:lang w:val="en-US" w:eastAsia="zh-CN"/>
        </w:rPr>
      </w:pPr>
      <w:r>
        <w:rPr>
          <w:rFonts w:ascii="宋体" w:hAnsi="宋体" w:eastAsia="宋体" w:cs="宋体"/>
          <w:kern w:val="0"/>
          <w:sz w:val="24"/>
          <w:szCs w:val="24"/>
        </w:rPr>
        <w:t>联系方法：</w:t>
      </w:r>
      <w:r>
        <w:rPr>
          <w:rFonts w:hint="eastAsia" w:ascii="宋体" w:hAnsi="宋体" w:eastAsia="宋体" w:cs="宋体"/>
          <w:kern w:val="0"/>
          <w:sz w:val="24"/>
          <w:szCs w:val="24"/>
        </w:rPr>
        <w:t>13805980510龚先生</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13506085677王先生</w:t>
      </w:r>
    </w:p>
    <w:p>
      <w:pPr>
        <w:widowControl/>
        <w:spacing w:before="75" w:after="75" w:line="400" w:lineRule="exac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2</w:t>
      </w:r>
      <w:r>
        <w:rPr>
          <w:rFonts w:ascii="宋体" w:hAnsi="宋体" w:eastAsia="宋体" w:cs="宋体"/>
          <w:color w:val="000000" w:themeColor="text1"/>
          <w:kern w:val="0"/>
          <w:sz w:val="24"/>
          <w:szCs w:val="24"/>
        </w:rPr>
        <w:t>、代理机构：厦门市务实采购有限公司</w:t>
      </w:r>
    </w:p>
    <w:p>
      <w:pPr>
        <w:widowControl/>
        <w:spacing w:before="75" w:after="75" w:line="400" w:lineRule="exact"/>
        <w:ind w:firstLine="480"/>
        <w:jc w:val="left"/>
        <w:rPr>
          <w:rFonts w:hAnsi="宋体"/>
          <w:color w:val="000000" w:themeColor="text1"/>
          <w:spacing w:val="-2"/>
          <w:sz w:val="24"/>
        </w:rPr>
      </w:pPr>
      <w:r>
        <w:rPr>
          <w:rFonts w:ascii="宋体" w:hAnsi="宋体" w:eastAsia="宋体" w:cs="宋体"/>
          <w:color w:val="000000" w:themeColor="text1"/>
          <w:kern w:val="0"/>
          <w:sz w:val="24"/>
          <w:szCs w:val="24"/>
        </w:rPr>
        <w:t>地址：</w:t>
      </w:r>
      <w:r>
        <w:rPr>
          <w:rFonts w:hint="eastAsia" w:hAnsi="宋体"/>
          <w:color w:val="000000" w:themeColor="text1"/>
          <w:spacing w:val="-2"/>
          <w:sz w:val="24"/>
        </w:rPr>
        <w:t>泉州市丰泽区温陵南路92号福华商厦（大洋百货）写字楼</w:t>
      </w:r>
      <w:r>
        <w:rPr>
          <w:rFonts w:hAnsi="宋体"/>
          <w:color w:val="000000" w:themeColor="text1"/>
          <w:spacing w:val="-2"/>
          <w:sz w:val="24"/>
        </w:rPr>
        <w:t>14</w:t>
      </w:r>
      <w:r>
        <w:rPr>
          <w:rFonts w:hint="eastAsia" w:hAnsi="宋体"/>
          <w:color w:val="000000" w:themeColor="text1"/>
          <w:spacing w:val="-2"/>
          <w:sz w:val="24"/>
        </w:rPr>
        <w:t>E</w:t>
      </w:r>
    </w:p>
    <w:p>
      <w:pPr>
        <w:widowControl/>
        <w:spacing w:before="75" w:after="75" w:line="400" w:lineRule="exact"/>
        <w:ind w:firstLine="480"/>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联系方法：</w:t>
      </w:r>
      <w:r>
        <w:rPr>
          <w:rFonts w:hint="eastAsia" w:ascii="宋体" w:hAnsi="宋体" w:eastAsia="宋体" w:cs="宋体"/>
          <w:color w:val="000000" w:themeColor="text1"/>
          <w:kern w:val="0"/>
          <w:sz w:val="24"/>
          <w:szCs w:val="24"/>
        </w:rPr>
        <w:t>18900362819刘先生</w:t>
      </w:r>
    </w:p>
    <w:p>
      <w:pPr>
        <w:pStyle w:val="2"/>
        <w:ind w:firstLine="480"/>
        <w:rPr>
          <w:rFonts w:ascii="宋体" w:hAnsi="宋体" w:eastAsia="宋体" w:cs="宋体"/>
          <w:kern w:val="0"/>
          <w:sz w:val="24"/>
          <w:szCs w:val="24"/>
        </w:rPr>
      </w:pPr>
      <w:r>
        <w:rPr>
          <w:rFonts w:hint="eastAsia" w:ascii="宋体" w:hAnsi="宋体" w:eastAsia="宋体" w:cs="宋体"/>
          <w:color w:val="000000" w:themeColor="text1"/>
          <w:kern w:val="0"/>
          <w:sz w:val="24"/>
          <w:szCs w:val="24"/>
        </w:rPr>
        <w:t>电子邮箱：xmwscg@126.com</w:t>
      </w:r>
      <w:r>
        <w:rPr>
          <w:rFonts w:ascii="宋体" w:hAnsi="宋体" w:eastAsia="宋体" w:cs="宋体"/>
          <w:kern w:val="0"/>
          <w:sz w:val="24"/>
          <w:szCs w:val="24"/>
        </w:rPr>
        <w:br w:type="textWrapping"/>
      </w:r>
      <w:r>
        <w:rPr>
          <w:rFonts w:ascii="宋体" w:hAnsi="宋体" w:eastAsia="宋体" w:cs="宋体"/>
          <w:kern w:val="0"/>
          <w:sz w:val="24"/>
          <w:szCs w:val="24"/>
        </w:rPr>
        <w:t>附1：</w:t>
      </w:r>
      <w:r>
        <w:rPr>
          <w:rFonts w:hint="eastAsia" w:ascii="宋体" w:hAnsi="宋体" w:eastAsia="宋体" w:cs="宋体"/>
          <w:kern w:val="0"/>
          <w:sz w:val="24"/>
          <w:szCs w:val="24"/>
        </w:rPr>
        <w:t>保证金</w:t>
      </w:r>
      <w:r>
        <w:rPr>
          <w:rFonts w:ascii="宋体" w:hAnsi="宋体" w:eastAsia="宋体" w:cs="宋体"/>
          <w:kern w:val="0"/>
          <w:sz w:val="24"/>
          <w:szCs w:val="24"/>
        </w:rPr>
        <w:t>账户信息</w:t>
      </w:r>
    </w:p>
    <w:p>
      <w:pPr>
        <w:pStyle w:val="2"/>
        <w:rPr>
          <w:rFonts w:ascii="宋体" w:hAnsi="宋体" w:cs="宋体"/>
          <w:color w:val="000000" w:themeColor="text1"/>
          <w:kern w:val="0"/>
          <w:sz w:val="24"/>
        </w:rPr>
      </w:pPr>
      <w:r>
        <w:rPr>
          <w:rFonts w:hint="eastAsia" w:ascii="宋体" w:hAnsi="宋体" w:cs="宋体"/>
          <w:color w:val="000000" w:themeColor="text1"/>
          <w:kern w:val="0"/>
          <w:sz w:val="24"/>
        </w:rPr>
        <w:t>开户名：厦门市务实采购有限公司泉州分公司</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开户银行：农业银行泉州市分行  账号：13500101040024326</w:t>
      </w:r>
    </w:p>
    <w:p>
      <w:pPr>
        <w:widowControl/>
        <w:spacing w:line="400" w:lineRule="exact"/>
        <w:ind w:firstLine="480" w:firstLineChars="200"/>
        <w:jc w:val="left"/>
        <w:rPr>
          <w:rFonts w:ascii="宋体" w:hAnsi="宋体" w:cs="宋体"/>
          <w:color w:val="000000" w:themeColor="text1"/>
          <w:kern w:val="0"/>
          <w:sz w:val="24"/>
        </w:rPr>
      </w:pPr>
      <w:r>
        <w:rPr>
          <w:rFonts w:hint="eastAsia" w:ascii="宋体" w:hAnsi="宋体" w:cs="宋体"/>
          <w:color w:val="000000" w:themeColor="text1"/>
          <w:kern w:val="0"/>
          <w:sz w:val="24"/>
        </w:rPr>
        <w:t>特别提示：投标人的投标保证金须在投标截止时间前足额到帐，否则其投标将被拒绝。</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xml:space="preserve">附2：采购标的一览表金额单位：人民币元 </w:t>
      </w:r>
    </w:p>
    <w:tbl>
      <w:tblPr>
        <w:tblStyle w:val="16"/>
        <w:tblW w:w="5536" w:type="pct"/>
        <w:tblInd w:w="-13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29"/>
        <w:gridCol w:w="968"/>
        <w:gridCol w:w="2877"/>
        <w:gridCol w:w="594"/>
        <w:gridCol w:w="1366"/>
        <w:gridCol w:w="1507"/>
        <w:gridCol w:w="117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6" w:hRule="atLeast"/>
          <w:tblHeader/>
        </w:trPr>
        <w:tc>
          <w:tcPr>
            <w:tcW w:w="396"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合同包</w:t>
            </w:r>
          </w:p>
        </w:tc>
        <w:tc>
          <w:tcPr>
            <w:tcW w:w="525"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品目号</w:t>
            </w:r>
          </w:p>
        </w:tc>
        <w:tc>
          <w:tcPr>
            <w:tcW w:w="1560"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采购标的</w:t>
            </w:r>
          </w:p>
        </w:tc>
        <w:tc>
          <w:tcPr>
            <w:tcW w:w="322"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允许进口</w:t>
            </w:r>
          </w:p>
        </w:tc>
        <w:tc>
          <w:tcPr>
            <w:tcW w:w="741"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数量</w:t>
            </w:r>
          </w:p>
        </w:tc>
        <w:tc>
          <w:tcPr>
            <w:tcW w:w="817"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合同包预算</w:t>
            </w:r>
            <w:r>
              <w:rPr>
                <w:rFonts w:hint="eastAsia" w:ascii="宋体" w:hAnsi="宋体" w:eastAsia="宋体" w:cs="宋体"/>
                <w:color w:val="000000" w:themeColor="text1"/>
                <w:kern w:val="0"/>
                <w:sz w:val="24"/>
                <w:szCs w:val="24"/>
              </w:rPr>
              <w:t>（万元）</w:t>
            </w:r>
          </w:p>
        </w:tc>
        <w:tc>
          <w:tcPr>
            <w:tcW w:w="636"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投标保证金</w:t>
            </w:r>
            <w:r>
              <w:rPr>
                <w:rFonts w:hint="eastAsia" w:ascii="宋体" w:hAnsi="宋体" w:eastAsia="宋体" w:cs="宋体"/>
                <w:color w:val="000000" w:themeColor="text1"/>
                <w:kern w:val="0"/>
                <w:sz w:val="24"/>
                <w:szCs w:val="24"/>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1" w:hRule="atLeast"/>
          <w:tblHeader/>
        </w:trPr>
        <w:tc>
          <w:tcPr>
            <w:tcW w:w="396" w:type="pct"/>
            <w:vMerge w:val="restart"/>
            <w:tcBorders>
              <w:left w:val="outset" w:color="auto" w:sz="6" w:space="0"/>
              <w:right w:val="outset" w:color="auto" w:sz="6" w:space="0"/>
            </w:tcBorders>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一</w:t>
            </w:r>
          </w:p>
        </w:tc>
        <w:tc>
          <w:tcPr>
            <w:tcW w:w="525"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p>
        </w:tc>
        <w:tc>
          <w:tcPr>
            <w:tcW w:w="1560" w:type="pct"/>
            <w:tcBorders>
              <w:top w:val="outset" w:color="auto" w:sz="6" w:space="0"/>
              <w:left w:val="outset" w:color="auto" w:sz="6" w:space="0"/>
              <w:bottom w:val="single" w:color="auto" w:sz="4" w:space="0"/>
              <w:right w:val="outset" w:color="auto" w:sz="6" w:space="0"/>
            </w:tcBorders>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安防监控系统</w:t>
            </w:r>
          </w:p>
        </w:tc>
        <w:tc>
          <w:tcPr>
            <w:tcW w:w="322" w:type="pct"/>
            <w:tcBorders>
              <w:top w:val="outset" w:color="auto" w:sz="6" w:space="0"/>
              <w:left w:val="outset" w:color="auto" w:sz="6" w:space="0"/>
              <w:bottom w:val="single" w:color="auto" w:sz="4" w:space="0"/>
              <w:right w:val="outset" w:color="auto" w:sz="6" w:space="0"/>
            </w:tcBorders>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否</w:t>
            </w:r>
          </w:p>
        </w:tc>
        <w:tc>
          <w:tcPr>
            <w:tcW w:w="741" w:type="pct"/>
            <w:tcBorders>
              <w:top w:val="outset" w:color="auto" w:sz="6" w:space="0"/>
              <w:left w:val="outset" w:color="auto" w:sz="6" w:space="0"/>
              <w:bottom w:val="single" w:color="auto" w:sz="4" w:space="0"/>
              <w:right w:val="outset" w:color="auto" w:sz="6" w:space="0"/>
            </w:tcBorders>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一批</w:t>
            </w:r>
          </w:p>
        </w:tc>
        <w:tc>
          <w:tcPr>
            <w:tcW w:w="817" w:type="pct"/>
            <w:vMerge w:val="restart"/>
            <w:tcBorders>
              <w:top w:val="outset" w:color="auto" w:sz="6" w:space="0"/>
              <w:left w:val="outset" w:color="auto" w:sz="6" w:space="0"/>
              <w:right w:val="outset" w:color="auto" w:sz="6" w:space="0"/>
            </w:tcBorders>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1016.0152</w:t>
            </w:r>
          </w:p>
        </w:tc>
        <w:tc>
          <w:tcPr>
            <w:tcW w:w="636" w:type="pct"/>
            <w:vMerge w:val="restart"/>
            <w:tcBorders>
              <w:top w:val="outset" w:color="auto" w:sz="6" w:space="0"/>
              <w:left w:val="outset" w:color="auto" w:sz="6" w:space="0"/>
              <w:right w:val="outset" w:color="auto" w:sz="6" w:space="0"/>
            </w:tcBorders>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100000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Header/>
        </w:trPr>
        <w:tc>
          <w:tcPr>
            <w:tcW w:w="396" w:type="pct"/>
            <w:vMerge w:val="continue"/>
            <w:tcBorders>
              <w:left w:val="outset" w:color="auto" w:sz="6" w:space="0"/>
              <w:right w:val="outset" w:color="auto" w:sz="6" w:space="0"/>
            </w:tcBorders>
            <w:vAlign w:val="center"/>
          </w:tcPr>
          <w:p>
            <w:pPr>
              <w:widowControl/>
              <w:jc w:val="center"/>
              <w:rPr>
                <w:rFonts w:ascii="宋体" w:hAnsi="宋体" w:eastAsia="宋体" w:cs="宋体"/>
                <w:color w:val="000000" w:themeColor="text1"/>
                <w:kern w:val="0"/>
                <w:sz w:val="24"/>
                <w:szCs w:val="24"/>
              </w:rPr>
            </w:pPr>
          </w:p>
        </w:tc>
        <w:tc>
          <w:tcPr>
            <w:tcW w:w="525"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p>
        </w:tc>
        <w:tc>
          <w:tcPr>
            <w:tcW w:w="1560" w:type="pct"/>
            <w:tcBorders>
              <w:top w:val="single" w:color="auto" w:sz="4" w:space="0"/>
              <w:left w:val="outset" w:color="auto" w:sz="6" w:space="0"/>
              <w:bottom w:val="single" w:color="auto" w:sz="4" w:space="0"/>
              <w:right w:val="outset" w:color="auto" w:sz="6" w:space="0"/>
            </w:tcBorders>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机房工程</w:t>
            </w:r>
          </w:p>
        </w:tc>
        <w:tc>
          <w:tcPr>
            <w:tcW w:w="322" w:type="pct"/>
            <w:tcBorders>
              <w:top w:val="single" w:color="auto" w:sz="4" w:space="0"/>
              <w:left w:val="outset" w:color="auto" w:sz="6" w:space="0"/>
              <w:bottom w:val="single" w:color="auto" w:sz="4" w:space="0"/>
              <w:right w:val="outset" w:color="auto" w:sz="6" w:space="0"/>
            </w:tcBorders>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否</w:t>
            </w:r>
          </w:p>
        </w:tc>
        <w:tc>
          <w:tcPr>
            <w:tcW w:w="741" w:type="pct"/>
            <w:tcBorders>
              <w:top w:val="single" w:color="auto" w:sz="4" w:space="0"/>
              <w:left w:val="outset" w:color="auto" w:sz="6" w:space="0"/>
              <w:bottom w:val="single" w:color="auto" w:sz="4" w:space="0"/>
              <w:right w:val="outset" w:color="auto" w:sz="6" w:space="0"/>
            </w:tcBorders>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一批</w:t>
            </w:r>
          </w:p>
        </w:tc>
        <w:tc>
          <w:tcPr>
            <w:tcW w:w="817" w:type="pct"/>
            <w:vMerge w:val="continue"/>
            <w:tcBorders>
              <w:left w:val="outset" w:color="auto" w:sz="6" w:space="0"/>
              <w:right w:val="outset" w:color="auto" w:sz="6" w:space="0"/>
            </w:tcBorders>
            <w:vAlign w:val="center"/>
          </w:tcPr>
          <w:p>
            <w:pPr>
              <w:widowControl/>
              <w:jc w:val="center"/>
              <w:rPr>
                <w:rFonts w:ascii="宋体" w:hAnsi="宋体" w:eastAsia="宋体" w:cs="宋体"/>
                <w:color w:val="FF0000"/>
                <w:kern w:val="0"/>
                <w:sz w:val="24"/>
                <w:szCs w:val="24"/>
              </w:rPr>
            </w:pPr>
          </w:p>
        </w:tc>
        <w:tc>
          <w:tcPr>
            <w:tcW w:w="636" w:type="pct"/>
            <w:vMerge w:val="continue"/>
            <w:tcBorders>
              <w:left w:val="outset" w:color="auto" w:sz="6" w:space="0"/>
              <w:right w:val="outset" w:color="auto" w:sz="6" w:space="0"/>
            </w:tcBorders>
            <w:vAlign w:val="center"/>
          </w:tcPr>
          <w:p>
            <w:pPr>
              <w:widowControl/>
              <w:jc w:val="center"/>
              <w:rPr>
                <w:rFonts w:ascii="宋体" w:hAnsi="宋体" w:eastAsia="宋体" w:cs="宋体"/>
                <w:color w:val="FF0000"/>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55" w:hRule="atLeast"/>
          <w:tblHeader/>
        </w:trPr>
        <w:tc>
          <w:tcPr>
            <w:tcW w:w="396" w:type="pct"/>
            <w:vMerge w:val="continue"/>
            <w:tcBorders>
              <w:left w:val="outset" w:color="auto" w:sz="6" w:space="0"/>
              <w:right w:val="outset" w:color="auto" w:sz="6" w:space="0"/>
            </w:tcBorders>
            <w:vAlign w:val="center"/>
          </w:tcPr>
          <w:p>
            <w:pPr>
              <w:widowControl/>
              <w:jc w:val="center"/>
              <w:rPr>
                <w:rFonts w:ascii="宋体" w:hAnsi="宋体" w:eastAsia="宋体" w:cs="宋体"/>
                <w:color w:val="000000" w:themeColor="text1"/>
                <w:kern w:val="0"/>
                <w:sz w:val="24"/>
                <w:szCs w:val="24"/>
              </w:rPr>
            </w:pPr>
          </w:p>
        </w:tc>
        <w:tc>
          <w:tcPr>
            <w:tcW w:w="525" w:type="pct"/>
            <w:tcBorders>
              <w:top w:val="outset" w:color="auto" w:sz="6" w:space="0"/>
              <w:left w:val="outset" w:color="auto" w:sz="6" w:space="0"/>
              <w:right w:val="outset" w:color="auto" w:sz="6" w:space="0"/>
            </w:tcBorders>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p>
        </w:tc>
        <w:tc>
          <w:tcPr>
            <w:tcW w:w="1560" w:type="pct"/>
            <w:tcBorders>
              <w:top w:val="single" w:color="auto" w:sz="4" w:space="0"/>
              <w:left w:val="outset" w:color="auto" w:sz="6" w:space="0"/>
              <w:right w:val="outset" w:color="auto" w:sz="6" w:space="0"/>
            </w:tcBorders>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消防系统改造工程</w:t>
            </w:r>
          </w:p>
        </w:tc>
        <w:tc>
          <w:tcPr>
            <w:tcW w:w="322" w:type="pct"/>
            <w:tcBorders>
              <w:top w:val="single" w:color="auto" w:sz="4" w:space="0"/>
              <w:left w:val="outset" w:color="auto" w:sz="6" w:space="0"/>
              <w:right w:val="outset" w:color="auto" w:sz="6" w:space="0"/>
            </w:tcBorders>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否</w:t>
            </w:r>
          </w:p>
        </w:tc>
        <w:tc>
          <w:tcPr>
            <w:tcW w:w="741" w:type="pct"/>
            <w:tcBorders>
              <w:top w:val="single" w:color="auto" w:sz="4" w:space="0"/>
              <w:left w:val="outset" w:color="auto" w:sz="6" w:space="0"/>
              <w:right w:val="outset" w:color="auto" w:sz="6" w:space="0"/>
            </w:tcBorders>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一批</w:t>
            </w:r>
          </w:p>
        </w:tc>
        <w:tc>
          <w:tcPr>
            <w:tcW w:w="817" w:type="pct"/>
            <w:vMerge w:val="continue"/>
            <w:tcBorders>
              <w:left w:val="outset" w:color="auto" w:sz="6" w:space="0"/>
              <w:right w:val="outset" w:color="auto" w:sz="6" w:space="0"/>
            </w:tcBorders>
            <w:vAlign w:val="center"/>
          </w:tcPr>
          <w:p>
            <w:pPr>
              <w:widowControl/>
              <w:jc w:val="center"/>
              <w:rPr>
                <w:rFonts w:ascii="宋体" w:hAnsi="宋体" w:eastAsia="宋体" w:cs="宋体"/>
                <w:color w:val="FF0000"/>
                <w:kern w:val="0"/>
                <w:sz w:val="24"/>
                <w:szCs w:val="24"/>
              </w:rPr>
            </w:pPr>
          </w:p>
        </w:tc>
        <w:tc>
          <w:tcPr>
            <w:tcW w:w="636" w:type="pct"/>
            <w:vMerge w:val="continue"/>
            <w:tcBorders>
              <w:left w:val="outset" w:color="auto" w:sz="6" w:space="0"/>
              <w:right w:val="outset" w:color="auto" w:sz="6" w:space="0"/>
            </w:tcBorders>
            <w:vAlign w:val="center"/>
          </w:tcPr>
          <w:p>
            <w:pPr>
              <w:widowControl/>
              <w:jc w:val="center"/>
              <w:rPr>
                <w:rFonts w:ascii="宋体" w:hAnsi="宋体" w:eastAsia="宋体" w:cs="宋体"/>
                <w:color w:val="FF0000"/>
                <w:kern w:val="0"/>
                <w:sz w:val="24"/>
                <w:szCs w:val="24"/>
              </w:rPr>
            </w:pPr>
          </w:p>
        </w:tc>
      </w:tr>
    </w:tbl>
    <w:p>
      <w:pPr>
        <w:pStyle w:val="2"/>
        <w:rPr>
          <w:rFonts w:ascii="宋体" w:hAnsi="宋体" w:eastAsia="宋体" w:cs="宋体"/>
          <w:b/>
          <w:bCs/>
          <w:kern w:val="0"/>
          <w:sz w:val="32"/>
        </w:rPr>
      </w:pPr>
      <w:bookmarkStart w:id="1" w:name="_Toc27209"/>
    </w:p>
    <w:p>
      <w:pPr>
        <w:pStyle w:val="2"/>
        <w:rPr>
          <w:rFonts w:ascii="宋体" w:hAnsi="宋体" w:eastAsia="宋体" w:cs="宋体"/>
          <w:b/>
          <w:bCs/>
          <w:kern w:val="0"/>
          <w:sz w:val="32"/>
        </w:rPr>
      </w:pPr>
    </w:p>
    <w:p>
      <w:pPr>
        <w:pStyle w:val="2"/>
        <w:rPr>
          <w:rFonts w:ascii="宋体" w:hAnsi="宋体" w:eastAsia="宋体" w:cs="宋体"/>
          <w:b/>
          <w:bCs/>
          <w:kern w:val="0"/>
          <w:sz w:val="32"/>
        </w:rPr>
      </w:pPr>
    </w:p>
    <w:p>
      <w:pPr>
        <w:pStyle w:val="2"/>
        <w:rPr>
          <w:rFonts w:ascii="宋体" w:hAnsi="宋体" w:eastAsia="宋体" w:cs="宋体"/>
          <w:b/>
          <w:bCs/>
          <w:kern w:val="0"/>
          <w:sz w:val="32"/>
        </w:rPr>
      </w:pPr>
    </w:p>
    <w:p>
      <w:pPr>
        <w:pStyle w:val="2"/>
        <w:rPr>
          <w:rFonts w:ascii="宋体" w:hAnsi="宋体" w:eastAsia="宋体" w:cs="宋体"/>
          <w:b/>
          <w:bCs/>
          <w:kern w:val="0"/>
          <w:sz w:val="32"/>
        </w:rPr>
      </w:pPr>
    </w:p>
    <w:p>
      <w:pPr>
        <w:widowControl/>
        <w:spacing w:before="75" w:after="75"/>
        <w:jc w:val="center"/>
        <w:outlineLvl w:val="0"/>
        <w:rPr>
          <w:rFonts w:ascii="宋体" w:hAnsi="宋体" w:eastAsia="宋体" w:cs="宋体"/>
          <w:kern w:val="0"/>
          <w:sz w:val="24"/>
          <w:szCs w:val="24"/>
        </w:rPr>
      </w:pPr>
      <w:r>
        <w:rPr>
          <w:rFonts w:ascii="宋体" w:hAnsi="宋体" w:eastAsia="宋体" w:cs="宋体"/>
          <w:b/>
          <w:bCs/>
          <w:kern w:val="0"/>
          <w:sz w:val="32"/>
        </w:rPr>
        <w:t>第二章   投标人须知前附表（表1、</w:t>
      </w:r>
      <w:r>
        <w:rPr>
          <w:rFonts w:ascii="Times New Roman" w:hAnsi="Times New Roman" w:eastAsia="宋体" w:cs="Times New Roman"/>
          <w:b/>
          <w:bCs/>
          <w:kern w:val="0"/>
          <w:sz w:val="32"/>
        </w:rPr>
        <w:t>2</w:t>
      </w:r>
      <w:r>
        <w:rPr>
          <w:rFonts w:ascii="宋体" w:hAnsi="宋体" w:eastAsia="宋体" w:cs="宋体"/>
          <w:b/>
          <w:bCs/>
          <w:kern w:val="0"/>
          <w:sz w:val="32"/>
        </w:rPr>
        <w:t>）</w:t>
      </w:r>
      <w:r>
        <w:rPr>
          <w:rFonts w:ascii="宋体" w:hAnsi="宋体" w:eastAsia="宋体" w:cs="宋体"/>
          <w:kern w:val="0"/>
          <w:sz w:val="24"/>
          <w:szCs w:val="24"/>
        </w:rPr>
        <w:t> </w:t>
      </w:r>
      <w:bookmarkEnd w:id="1"/>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表1</w:t>
      </w:r>
    </w:p>
    <w:tbl>
      <w:tblPr>
        <w:tblStyle w:val="16"/>
        <w:tblW w:w="0" w:type="auto"/>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55"/>
        <w:gridCol w:w="1478"/>
        <w:gridCol w:w="627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546" w:type="dxa"/>
            <w:gridSpan w:val="3"/>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b/>
                <w:bCs/>
                <w:kern w:val="0"/>
                <w:sz w:val="24"/>
                <w:szCs w:val="24"/>
              </w:rPr>
              <w:t>特别提示：本表与招标文件对应章节的内容若不一致，以本表为准。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1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项号</w:t>
            </w:r>
          </w:p>
        </w:tc>
        <w:tc>
          <w:tcPr>
            <w:tcW w:w="1448"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招标文件</w:t>
            </w:r>
          </w:p>
          <w:p>
            <w:pPr>
              <w:widowControl/>
              <w:jc w:val="center"/>
              <w:rPr>
                <w:rFonts w:ascii="宋体" w:hAnsi="宋体" w:eastAsia="宋体" w:cs="宋体"/>
                <w:kern w:val="0"/>
                <w:sz w:val="24"/>
                <w:szCs w:val="24"/>
              </w:rPr>
            </w:pPr>
            <w:r>
              <w:rPr>
                <w:rFonts w:ascii="宋体" w:hAnsi="宋体" w:eastAsia="宋体" w:cs="宋体"/>
                <w:kern w:val="0"/>
                <w:sz w:val="24"/>
                <w:szCs w:val="24"/>
              </w:rPr>
              <w:t>（第三章）</w:t>
            </w:r>
          </w:p>
        </w:tc>
        <w:tc>
          <w:tcPr>
            <w:tcW w:w="6228"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1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144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6.1</w:t>
            </w:r>
          </w:p>
        </w:tc>
        <w:tc>
          <w:tcPr>
            <w:tcW w:w="622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是否组织现场考察或召开开标前答疑会：</w:t>
            </w:r>
            <w:r>
              <w:rPr>
                <w:rFonts w:ascii="宋体" w:hAnsi="宋体" w:eastAsia="宋体" w:cs="宋体"/>
                <w:kern w:val="0"/>
                <w:sz w:val="24"/>
                <w:szCs w:val="24"/>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1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2</w:t>
            </w:r>
          </w:p>
        </w:tc>
        <w:tc>
          <w:tcPr>
            <w:tcW w:w="144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10.4</w:t>
            </w:r>
          </w:p>
        </w:tc>
        <w:tc>
          <w:tcPr>
            <w:tcW w:w="622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投标文件的份数：</w:t>
            </w:r>
          </w:p>
          <w:p>
            <w:pPr>
              <w:widowControl/>
              <w:jc w:val="left"/>
              <w:rPr>
                <w:rFonts w:ascii="宋体" w:hAnsi="宋体" w:eastAsia="宋体" w:cs="宋体"/>
                <w:kern w:val="0"/>
                <w:sz w:val="24"/>
                <w:szCs w:val="24"/>
              </w:rPr>
            </w:pPr>
            <w:r>
              <w:rPr>
                <w:rFonts w:ascii="宋体" w:hAnsi="宋体" w:eastAsia="宋体" w:cs="宋体"/>
                <w:kern w:val="0"/>
                <w:sz w:val="24"/>
                <w:szCs w:val="24"/>
              </w:rPr>
              <w:t>（1）纸质投标文件：</w:t>
            </w:r>
          </w:p>
          <w:p>
            <w:pPr>
              <w:widowControl/>
              <w:jc w:val="left"/>
              <w:rPr>
                <w:rFonts w:ascii="宋体" w:hAnsi="宋体" w:eastAsia="宋体" w:cs="宋体"/>
                <w:kern w:val="0"/>
                <w:sz w:val="24"/>
                <w:szCs w:val="24"/>
              </w:rPr>
            </w:pPr>
            <w:r>
              <w:rPr>
                <w:rFonts w:ascii="宋体" w:hAnsi="宋体" w:eastAsia="宋体" w:cs="宋体"/>
                <w:kern w:val="0"/>
                <w:sz w:val="24"/>
                <w:szCs w:val="24"/>
              </w:rPr>
              <w:t>①资格及资信证明部分的正本</w:t>
            </w:r>
            <w:r>
              <w:rPr>
                <w:rFonts w:ascii="宋体" w:hAnsi="宋体" w:eastAsia="宋体" w:cs="宋体"/>
                <w:kern w:val="0"/>
                <w:sz w:val="24"/>
                <w:szCs w:val="24"/>
                <w:u w:val="single"/>
              </w:rPr>
              <w:t>1</w:t>
            </w:r>
            <w:r>
              <w:rPr>
                <w:rFonts w:ascii="宋体" w:hAnsi="宋体" w:eastAsia="宋体" w:cs="宋体"/>
                <w:kern w:val="0"/>
                <w:sz w:val="24"/>
                <w:szCs w:val="24"/>
              </w:rPr>
              <w:t>份、副本</w:t>
            </w:r>
            <w:r>
              <w:rPr>
                <w:rFonts w:hint="eastAsia" w:ascii="宋体" w:hAnsi="宋体" w:eastAsia="宋体" w:cs="宋体"/>
                <w:kern w:val="0"/>
                <w:sz w:val="24"/>
                <w:szCs w:val="24"/>
              </w:rPr>
              <w:t>3</w:t>
            </w:r>
            <w:r>
              <w:rPr>
                <w:rFonts w:ascii="宋体" w:hAnsi="宋体" w:eastAsia="宋体" w:cs="宋体"/>
                <w:kern w:val="0"/>
                <w:sz w:val="24"/>
                <w:szCs w:val="24"/>
              </w:rPr>
              <w:t>份，报价部分的正本</w:t>
            </w:r>
            <w:r>
              <w:rPr>
                <w:rFonts w:ascii="宋体" w:hAnsi="宋体" w:eastAsia="宋体" w:cs="宋体"/>
                <w:kern w:val="0"/>
                <w:sz w:val="24"/>
                <w:szCs w:val="24"/>
                <w:u w:val="single"/>
              </w:rPr>
              <w:t>1</w:t>
            </w:r>
            <w:r>
              <w:rPr>
                <w:rFonts w:ascii="宋体" w:hAnsi="宋体" w:eastAsia="宋体" w:cs="宋体"/>
                <w:kern w:val="0"/>
                <w:sz w:val="24"/>
                <w:szCs w:val="24"/>
              </w:rPr>
              <w:t>份、副本</w:t>
            </w:r>
            <w:r>
              <w:rPr>
                <w:rFonts w:hint="eastAsia" w:ascii="宋体" w:hAnsi="宋体" w:eastAsia="宋体" w:cs="宋体"/>
                <w:kern w:val="0"/>
                <w:sz w:val="24"/>
                <w:szCs w:val="24"/>
              </w:rPr>
              <w:t>3</w:t>
            </w:r>
            <w:r>
              <w:rPr>
                <w:rFonts w:ascii="宋体" w:hAnsi="宋体" w:eastAsia="宋体" w:cs="宋体"/>
                <w:kern w:val="0"/>
                <w:sz w:val="24"/>
                <w:szCs w:val="24"/>
              </w:rPr>
              <w:t>份，技术商务部分的正本</w:t>
            </w:r>
            <w:r>
              <w:rPr>
                <w:rFonts w:ascii="宋体" w:hAnsi="宋体" w:eastAsia="宋体" w:cs="宋体"/>
                <w:kern w:val="0"/>
                <w:sz w:val="24"/>
                <w:szCs w:val="24"/>
                <w:u w:val="single"/>
              </w:rPr>
              <w:t>1</w:t>
            </w:r>
            <w:r>
              <w:rPr>
                <w:rFonts w:ascii="宋体" w:hAnsi="宋体" w:eastAsia="宋体" w:cs="宋体"/>
                <w:kern w:val="0"/>
                <w:sz w:val="24"/>
                <w:szCs w:val="24"/>
              </w:rPr>
              <w:t>份、副本</w:t>
            </w:r>
            <w:r>
              <w:rPr>
                <w:rFonts w:hint="eastAsia" w:ascii="宋体" w:hAnsi="宋体" w:eastAsia="宋体" w:cs="宋体"/>
                <w:kern w:val="0"/>
                <w:sz w:val="24"/>
                <w:szCs w:val="24"/>
              </w:rPr>
              <w:t>6</w:t>
            </w:r>
            <w:r>
              <w:rPr>
                <w:rFonts w:ascii="宋体" w:hAnsi="宋体" w:eastAsia="宋体" w:cs="宋体"/>
                <w:kern w:val="0"/>
                <w:sz w:val="24"/>
                <w:szCs w:val="24"/>
              </w:rPr>
              <w:t>份。</w:t>
            </w:r>
          </w:p>
          <w:p>
            <w:pPr>
              <w:widowControl/>
              <w:jc w:val="left"/>
              <w:rPr>
                <w:rFonts w:ascii="宋体" w:hAnsi="宋体" w:eastAsia="宋体" w:cs="宋体"/>
                <w:kern w:val="0"/>
                <w:sz w:val="24"/>
                <w:szCs w:val="24"/>
              </w:rPr>
            </w:pPr>
            <w:r>
              <w:rPr>
                <w:rFonts w:ascii="宋体" w:hAnsi="宋体" w:eastAsia="宋体" w:cs="宋体"/>
                <w:kern w:val="0"/>
                <w:sz w:val="24"/>
                <w:szCs w:val="24"/>
              </w:rPr>
              <w:t>②可读介质（光盘或</w:t>
            </w:r>
            <w:r>
              <w:rPr>
                <w:rFonts w:ascii="Times New Roman" w:hAnsi="Times New Roman" w:eastAsia="宋体" w:cs="Times New Roman"/>
                <w:kern w:val="0"/>
                <w:sz w:val="24"/>
                <w:szCs w:val="24"/>
              </w:rPr>
              <w:t>U</w:t>
            </w:r>
            <w:r>
              <w:rPr>
                <w:rFonts w:ascii="宋体" w:hAnsi="宋体" w:eastAsia="宋体" w:cs="宋体"/>
                <w:kern w:val="0"/>
                <w:sz w:val="24"/>
                <w:szCs w:val="24"/>
              </w:rPr>
              <w:t>盘）</w:t>
            </w:r>
            <w:r>
              <w:rPr>
                <w:rFonts w:hint="eastAsia" w:ascii="宋体" w:hAnsi="宋体" w:eastAsia="宋体" w:cs="宋体"/>
                <w:kern w:val="0"/>
                <w:sz w:val="24"/>
                <w:szCs w:val="24"/>
              </w:rPr>
              <w:t>：报价部分单独</w:t>
            </w:r>
            <w:r>
              <w:rPr>
                <w:rFonts w:ascii="宋体" w:hAnsi="宋体" w:eastAsia="宋体" w:cs="宋体"/>
                <w:kern w:val="0"/>
                <w:sz w:val="24"/>
                <w:szCs w:val="24"/>
                <w:u w:val="single"/>
              </w:rPr>
              <w:t>1</w:t>
            </w:r>
            <w:r>
              <w:rPr>
                <w:rFonts w:ascii="宋体" w:hAnsi="宋体" w:eastAsia="宋体" w:cs="宋体"/>
                <w:kern w:val="0"/>
                <w:sz w:val="24"/>
                <w:szCs w:val="24"/>
              </w:rPr>
              <w:t>份</w:t>
            </w:r>
            <w:r>
              <w:rPr>
                <w:rFonts w:hint="eastAsia" w:ascii="宋体" w:hAnsi="宋体" w:eastAsia="宋体" w:cs="宋体"/>
                <w:kern w:val="0"/>
                <w:sz w:val="24"/>
                <w:szCs w:val="24"/>
              </w:rPr>
              <w:t>，其他部分1份。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1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3</w:t>
            </w:r>
          </w:p>
        </w:tc>
        <w:tc>
          <w:tcPr>
            <w:tcW w:w="144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10.5-（</w:t>
            </w:r>
            <w:r>
              <w:rPr>
                <w:rFonts w:ascii="Times New Roman" w:hAnsi="Times New Roman" w:eastAsia="宋体" w:cs="Times New Roman"/>
                <w:kern w:val="0"/>
                <w:sz w:val="24"/>
                <w:szCs w:val="24"/>
              </w:rPr>
              <w:t>2</w:t>
            </w:r>
            <w:r>
              <w:rPr>
                <w:rFonts w:ascii="宋体" w:hAnsi="宋体" w:eastAsia="宋体" w:cs="宋体"/>
                <w:kern w:val="0"/>
                <w:sz w:val="24"/>
                <w:szCs w:val="24"/>
              </w:rPr>
              <w:t>）</w:t>
            </w:r>
            <w:r>
              <w:rPr>
                <w:rFonts w:ascii="Times New Roman" w:hAnsi="Times New Roman" w:eastAsia="宋体" w:cs="Times New Roman"/>
                <w:kern w:val="0"/>
                <w:sz w:val="24"/>
                <w:szCs w:val="24"/>
              </w:rPr>
              <w:t>-</w:t>
            </w:r>
            <w:r>
              <w:rPr>
                <w:rFonts w:ascii="宋体" w:hAnsi="宋体" w:eastAsia="宋体" w:cs="宋体"/>
                <w:kern w:val="0"/>
                <w:sz w:val="24"/>
                <w:szCs w:val="24"/>
              </w:rPr>
              <w:t>③</w:t>
            </w:r>
          </w:p>
        </w:tc>
        <w:tc>
          <w:tcPr>
            <w:tcW w:w="622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允许散装或活页装订的内容或材料：</w:t>
            </w:r>
          </w:p>
          <w:p>
            <w:pPr>
              <w:widowControl/>
              <w:jc w:val="left"/>
              <w:rPr>
                <w:rFonts w:ascii="宋体" w:hAnsi="宋体" w:eastAsia="宋体" w:cs="宋体"/>
                <w:kern w:val="0"/>
                <w:sz w:val="24"/>
                <w:szCs w:val="24"/>
              </w:rPr>
            </w:pPr>
            <w:r>
              <w:rPr>
                <w:rFonts w:ascii="宋体" w:hAnsi="宋体" w:eastAsia="宋体" w:cs="宋体"/>
                <w:kern w:val="0"/>
                <w:sz w:val="24"/>
                <w:szCs w:val="24"/>
              </w:rPr>
              <w:t>（1）投标文件的补充、修改或撤回；</w:t>
            </w:r>
          </w:p>
          <w:p>
            <w:pPr>
              <w:widowControl/>
              <w:jc w:val="left"/>
              <w:rPr>
                <w:rFonts w:ascii="宋体" w:hAnsi="宋体" w:eastAsia="宋体" w:cs="宋体"/>
                <w:kern w:val="0"/>
                <w:sz w:val="24"/>
                <w:szCs w:val="24"/>
              </w:rPr>
            </w:pPr>
            <w:r>
              <w:rPr>
                <w:rFonts w:ascii="宋体" w:hAnsi="宋体" w:eastAsia="宋体" w:cs="宋体"/>
                <w:kern w:val="0"/>
                <w:sz w:val="24"/>
                <w:szCs w:val="24"/>
              </w:rPr>
              <w:t>（2）其他内容或材料：无。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1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4</w:t>
            </w:r>
          </w:p>
        </w:tc>
        <w:tc>
          <w:tcPr>
            <w:tcW w:w="144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10.7-（</w:t>
            </w:r>
            <w:r>
              <w:rPr>
                <w:rFonts w:ascii="Times New Roman" w:hAnsi="Times New Roman" w:eastAsia="宋体" w:cs="Times New Roman"/>
                <w:kern w:val="0"/>
                <w:sz w:val="24"/>
                <w:szCs w:val="24"/>
              </w:rPr>
              <w:t>1</w:t>
            </w:r>
            <w:r>
              <w:rPr>
                <w:rFonts w:ascii="宋体" w:hAnsi="宋体" w:eastAsia="宋体" w:cs="宋体"/>
                <w:kern w:val="0"/>
                <w:sz w:val="24"/>
                <w:szCs w:val="24"/>
              </w:rPr>
              <w:t>）</w:t>
            </w:r>
          </w:p>
        </w:tc>
        <w:tc>
          <w:tcPr>
            <w:tcW w:w="622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是否允许中标人将本项目的非主体、非关键性工作进行分包：</w:t>
            </w:r>
          </w:p>
          <w:p>
            <w:pPr>
              <w:widowControl/>
              <w:jc w:val="left"/>
              <w:rPr>
                <w:rFonts w:ascii="宋体" w:hAnsi="宋体" w:eastAsia="宋体" w:cs="宋体"/>
                <w:kern w:val="0"/>
                <w:sz w:val="24"/>
                <w:szCs w:val="24"/>
              </w:rPr>
            </w:pPr>
            <w:r>
              <w:rPr>
                <w:rFonts w:ascii="宋体" w:hAnsi="宋体" w:eastAsia="宋体" w:cs="宋体"/>
                <w:b/>
                <w:bCs/>
                <w:color w:val="000000" w:themeColor="text1"/>
                <w:kern w:val="0"/>
                <w:sz w:val="24"/>
                <w:szCs w:val="24"/>
              </w:rPr>
              <w:t>不允许</w:t>
            </w:r>
            <w:r>
              <w:rPr>
                <w:rFonts w:ascii="宋体" w:hAnsi="宋体" w:eastAsia="宋体" w:cs="宋体"/>
                <w:color w:val="000000" w:themeColor="text1"/>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1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5</w:t>
            </w:r>
          </w:p>
        </w:tc>
        <w:tc>
          <w:tcPr>
            <w:tcW w:w="144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10.8-（</w:t>
            </w:r>
            <w:r>
              <w:rPr>
                <w:rFonts w:ascii="Calibri" w:hAnsi="Calibri" w:eastAsia="宋体" w:cs="宋体"/>
                <w:kern w:val="0"/>
                <w:sz w:val="24"/>
                <w:szCs w:val="24"/>
              </w:rPr>
              <w:t>1</w:t>
            </w:r>
            <w:r>
              <w:rPr>
                <w:rFonts w:ascii="宋体" w:hAnsi="宋体" w:eastAsia="宋体" w:cs="宋体"/>
                <w:kern w:val="0"/>
                <w:sz w:val="24"/>
                <w:szCs w:val="24"/>
              </w:rPr>
              <w:t>）</w:t>
            </w:r>
          </w:p>
        </w:tc>
        <w:tc>
          <w:tcPr>
            <w:tcW w:w="622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投标有效期</w:t>
            </w:r>
            <w:r>
              <w:rPr>
                <w:rFonts w:ascii="宋体" w:hAnsi="宋体" w:eastAsia="宋体" w:cs="宋体"/>
                <w:kern w:val="0"/>
                <w:sz w:val="24"/>
                <w:szCs w:val="24"/>
              </w:rPr>
              <w:t>：投标截止时间起90个日历日。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1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6</w:t>
            </w:r>
          </w:p>
        </w:tc>
        <w:tc>
          <w:tcPr>
            <w:tcW w:w="144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10.10-（</w:t>
            </w:r>
            <w:r>
              <w:rPr>
                <w:rFonts w:ascii="Calibri" w:hAnsi="Calibri" w:eastAsia="宋体" w:cs="宋体"/>
                <w:kern w:val="0"/>
                <w:sz w:val="24"/>
                <w:szCs w:val="24"/>
              </w:rPr>
              <w:t>2</w:t>
            </w:r>
            <w:r>
              <w:rPr>
                <w:rFonts w:ascii="宋体" w:hAnsi="宋体" w:eastAsia="宋体" w:cs="宋体"/>
                <w:kern w:val="0"/>
                <w:sz w:val="24"/>
                <w:szCs w:val="24"/>
              </w:rPr>
              <w:t>）</w:t>
            </w:r>
          </w:p>
        </w:tc>
        <w:tc>
          <w:tcPr>
            <w:tcW w:w="622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密封及其标记的具体形式：</w:t>
            </w:r>
          </w:p>
          <w:p>
            <w:pPr>
              <w:widowControl/>
              <w:jc w:val="left"/>
              <w:rPr>
                <w:rFonts w:ascii="宋体" w:hAnsi="宋体" w:eastAsia="宋体" w:cs="宋体"/>
                <w:kern w:val="0"/>
                <w:sz w:val="24"/>
                <w:szCs w:val="24"/>
              </w:rPr>
            </w:pPr>
            <w:r>
              <w:rPr>
                <w:rFonts w:ascii="宋体" w:hAnsi="宋体" w:eastAsia="宋体" w:cs="宋体"/>
                <w:kern w:val="0"/>
                <w:sz w:val="24"/>
                <w:szCs w:val="24"/>
              </w:rPr>
              <w:t>（1）全部纸质投标文件（包括正本、副本及可读介质）均应密封，否则</w:t>
            </w:r>
            <w:r>
              <w:rPr>
                <w:rFonts w:ascii="宋体" w:hAnsi="宋体" w:eastAsia="宋体" w:cs="宋体"/>
                <w:b/>
                <w:bCs/>
                <w:kern w:val="0"/>
                <w:sz w:val="24"/>
                <w:szCs w:val="24"/>
              </w:rPr>
              <w:t>投标将被拒绝。</w:t>
            </w:r>
          </w:p>
          <w:p>
            <w:pPr>
              <w:widowControl/>
              <w:jc w:val="left"/>
              <w:rPr>
                <w:rFonts w:ascii="宋体" w:hAnsi="宋体" w:eastAsia="宋体" w:cs="宋体"/>
                <w:kern w:val="0"/>
                <w:sz w:val="24"/>
                <w:szCs w:val="24"/>
              </w:rPr>
            </w:pPr>
            <w:r>
              <w:rPr>
                <w:rFonts w:ascii="宋体" w:hAnsi="宋体" w:eastAsia="宋体" w:cs="宋体"/>
                <w:kern w:val="0"/>
                <w:sz w:val="24"/>
                <w:szCs w:val="24"/>
              </w:rPr>
              <w:t>（2）密封的外包装应至少标记“项目名称、招标编号、所投合同包、投标人的全称”等内容，否则造成投标文件误投、遗漏或提前拆封的，</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不承担责任。</w:t>
            </w:r>
          </w:p>
          <w:p>
            <w:pPr>
              <w:widowControl/>
              <w:jc w:val="left"/>
              <w:rPr>
                <w:rFonts w:ascii="宋体" w:hAnsi="宋体" w:eastAsia="宋体" w:cs="宋体"/>
                <w:kern w:val="0"/>
                <w:sz w:val="24"/>
                <w:szCs w:val="24"/>
              </w:rPr>
            </w:pPr>
            <w:r>
              <w:rPr>
                <w:rFonts w:ascii="宋体" w:hAnsi="宋体" w:eastAsia="宋体" w:cs="宋体"/>
                <w:kern w:val="0"/>
                <w:sz w:val="24"/>
                <w:szCs w:val="24"/>
              </w:rPr>
              <w:t>（3）其他：无。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1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7</w:t>
            </w:r>
          </w:p>
        </w:tc>
        <w:tc>
          <w:tcPr>
            <w:tcW w:w="144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12.1</w:t>
            </w:r>
          </w:p>
        </w:tc>
        <w:tc>
          <w:tcPr>
            <w:tcW w:w="622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本项目推荐合同包1中标候选人数为1家。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10" w:type="dxa"/>
            <w:tcBorders>
              <w:top w:val="nil"/>
              <w:left w:val="outset" w:color="000000" w:sz="6" w:space="0"/>
              <w:bottom w:val="outset" w:color="000000" w:sz="6" w:space="0"/>
              <w:right w:val="outset" w:color="000000" w:sz="6" w:space="0"/>
            </w:tcBorders>
            <w:tcMar>
              <w:top w:w="75" w:type="dxa"/>
              <w:left w:w="150" w:type="dxa"/>
              <w:bottom w:w="7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8</w:t>
            </w:r>
          </w:p>
        </w:tc>
        <w:tc>
          <w:tcPr>
            <w:tcW w:w="1448" w:type="dxa"/>
            <w:tcBorders>
              <w:top w:val="nil"/>
              <w:left w:val="nil"/>
              <w:bottom w:val="outset" w:color="000000" w:sz="6" w:space="0"/>
              <w:right w:val="outset" w:color="000000" w:sz="6" w:space="0"/>
            </w:tcBorders>
            <w:tcMar>
              <w:top w:w="75" w:type="dxa"/>
              <w:left w:w="150" w:type="dxa"/>
              <w:bottom w:w="7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12.2</w:t>
            </w:r>
          </w:p>
        </w:tc>
        <w:tc>
          <w:tcPr>
            <w:tcW w:w="6228" w:type="dxa"/>
            <w:tcBorders>
              <w:top w:val="nil"/>
              <w:left w:val="nil"/>
              <w:bottom w:val="outset" w:color="000000" w:sz="6" w:space="0"/>
              <w:right w:val="outset" w:color="000000" w:sz="6" w:space="0"/>
            </w:tcBorders>
            <w:tcMar>
              <w:top w:w="75" w:type="dxa"/>
              <w:left w:w="150" w:type="dxa"/>
              <w:bottom w:w="7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本项目中标人的确定（以合同包为单位）：</w:t>
            </w:r>
          </w:p>
          <w:p>
            <w:pPr>
              <w:widowControl/>
              <w:jc w:val="left"/>
              <w:rPr>
                <w:rFonts w:ascii="宋体" w:hAnsi="宋体" w:eastAsia="宋体" w:cs="宋体"/>
                <w:kern w:val="0"/>
                <w:sz w:val="24"/>
                <w:szCs w:val="24"/>
              </w:rPr>
            </w:pPr>
            <w:r>
              <w:rPr>
                <w:rFonts w:ascii="宋体" w:hAnsi="宋体" w:eastAsia="宋体" w:cs="宋体"/>
                <w:kern w:val="0"/>
                <w:sz w:val="24"/>
                <w:szCs w:val="24"/>
              </w:rPr>
              <w:t>（1）采购人应在政府采购招投标管理办法规定的时限内确定中标人。</w:t>
            </w:r>
          </w:p>
          <w:p>
            <w:pPr>
              <w:widowControl/>
              <w:jc w:val="left"/>
              <w:rPr>
                <w:rFonts w:ascii="宋体" w:hAnsi="宋体" w:eastAsia="宋体" w:cs="宋体"/>
                <w:kern w:val="0"/>
                <w:sz w:val="24"/>
                <w:szCs w:val="24"/>
              </w:rPr>
            </w:pPr>
            <w:r>
              <w:rPr>
                <w:rFonts w:ascii="宋体" w:hAnsi="宋体" w:eastAsia="宋体" w:cs="宋体"/>
                <w:kern w:val="0"/>
                <w:sz w:val="24"/>
                <w:szCs w:val="24"/>
              </w:rPr>
              <w:t>（2）若出现中标候选人并列情形，则按照下列方式确定中标人：</w:t>
            </w:r>
          </w:p>
          <w:p>
            <w:pPr>
              <w:widowControl/>
              <w:jc w:val="left"/>
              <w:rPr>
                <w:rFonts w:ascii="宋体" w:hAnsi="宋体" w:eastAsia="宋体" w:cs="宋体"/>
                <w:kern w:val="0"/>
                <w:sz w:val="24"/>
                <w:szCs w:val="24"/>
              </w:rPr>
            </w:pPr>
            <w:r>
              <w:rPr>
                <w:rFonts w:ascii="宋体" w:hAnsi="宋体" w:eastAsia="宋体" w:cs="宋体"/>
                <w:kern w:val="0"/>
                <w:sz w:val="24"/>
                <w:szCs w:val="24"/>
              </w:rPr>
              <w:t>①招标文件规定的方式：无。</w:t>
            </w:r>
          </w:p>
          <w:p>
            <w:pPr>
              <w:widowControl/>
              <w:jc w:val="left"/>
              <w:rPr>
                <w:rFonts w:ascii="宋体" w:hAnsi="宋体" w:eastAsia="宋体" w:cs="宋体"/>
                <w:kern w:val="0"/>
                <w:sz w:val="24"/>
                <w:szCs w:val="24"/>
              </w:rPr>
            </w:pPr>
            <w:r>
              <w:rPr>
                <w:rFonts w:ascii="宋体" w:hAnsi="宋体" w:eastAsia="宋体" w:cs="宋体"/>
                <w:kern w:val="0"/>
                <w:sz w:val="24"/>
                <w:szCs w:val="24"/>
              </w:rPr>
              <w:t>②若本款第①点规定方式为“无”，则按照下列方式确定：无。。</w:t>
            </w:r>
          </w:p>
          <w:p>
            <w:pPr>
              <w:widowControl/>
              <w:jc w:val="left"/>
              <w:rPr>
                <w:rFonts w:ascii="宋体" w:hAnsi="宋体" w:eastAsia="宋体" w:cs="宋体"/>
                <w:kern w:val="0"/>
                <w:sz w:val="24"/>
                <w:szCs w:val="24"/>
              </w:rPr>
            </w:pPr>
            <w:r>
              <w:rPr>
                <w:rFonts w:ascii="宋体" w:hAnsi="宋体" w:eastAsia="宋体" w:cs="宋体"/>
                <w:kern w:val="0"/>
                <w:sz w:val="24"/>
                <w:szCs w:val="24"/>
              </w:rPr>
              <w:t>③若本款第①、②点规定方式均为“无”，则按照下列方式确定：随机抽取。</w:t>
            </w:r>
          </w:p>
          <w:p>
            <w:pPr>
              <w:widowControl/>
              <w:jc w:val="left"/>
              <w:rPr>
                <w:rFonts w:ascii="宋体" w:hAnsi="宋体" w:eastAsia="宋体" w:cs="宋体"/>
                <w:kern w:val="0"/>
                <w:sz w:val="24"/>
                <w:szCs w:val="24"/>
              </w:rPr>
            </w:pPr>
            <w:r>
              <w:rPr>
                <w:rFonts w:ascii="宋体" w:hAnsi="宋体" w:eastAsia="宋体" w:cs="宋体"/>
                <w:kern w:val="0"/>
                <w:sz w:val="24"/>
                <w:szCs w:val="24"/>
              </w:rPr>
              <w:t>（3）本项目确定的中标人家数：</w:t>
            </w:r>
          </w:p>
          <w:p>
            <w:pPr>
              <w:widowControl/>
              <w:jc w:val="left"/>
              <w:rPr>
                <w:rFonts w:ascii="宋体" w:hAnsi="宋体" w:eastAsia="宋体" w:cs="宋体"/>
                <w:kern w:val="0"/>
                <w:sz w:val="24"/>
                <w:szCs w:val="24"/>
              </w:rPr>
            </w:pPr>
            <w:r>
              <w:rPr>
                <w:rFonts w:ascii="宋体" w:hAnsi="宋体" w:eastAsia="宋体" w:cs="宋体"/>
                <w:kern w:val="0"/>
                <w:sz w:val="24"/>
                <w:szCs w:val="24"/>
              </w:rPr>
              <w:t>①本项目确定合同包1中标人数为1家；</w:t>
            </w:r>
          </w:p>
          <w:p>
            <w:pPr>
              <w:widowControl/>
              <w:jc w:val="left"/>
              <w:rPr>
                <w:rFonts w:ascii="宋体" w:hAnsi="宋体" w:eastAsia="宋体" w:cs="宋体"/>
                <w:kern w:val="0"/>
                <w:sz w:val="24"/>
                <w:szCs w:val="24"/>
              </w:rPr>
            </w:pPr>
            <w:r>
              <w:rPr>
                <w:rFonts w:ascii="宋体" w:hAnsi="宋体" w:eastAsia="宋体" w:cs="宋体"/>
                <w:kern w:val="0"/>
                <w:sz w:val="24"/>
                <w:szCs w:val="24"/>
              </w:rPr>
              <w:t>②若出现中标候选人符合法定家数但不足本款第①点规定中标人家数情形，则按照中标候选人的实际家数确定中标人。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1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9</w:t>
            </w:r>
          </w:p>
        </w:tc>
        <w:tc>
          <w:tcPr>
            <w:tcW w:w="144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15.1-（</w:t>
            </w:r>
            <w:r>
              <w:rPr>
                <w:rFonts w:ascii="Times New Roman" w:hAnsi="Times New Roman" w:eastAsia="宋体" w:cs="Times New Roman"/>
                <w:kern w:val="0"/>
                <w:sz w:val="24"/>
                <w:szCs w:val="24"/>
              </w:rPr>
              <w:t>2</w:t>
            </w:r>
            <w:r>
              <w:rPr>
                <w:rFonts w:ascii="宋体" w:hAnsi="宋体" w:eastAsia="宋体" w:cs="宋体"/>
                <w:kern w:val="0"/>
                <w:sz w:val="24"/>
                <w:szCs w:val="24"/>
              </w:rPr>
              <w:t>）</w:t>
            </w:r>
          </w:p>
        </w:tc>
        <w:tc>
          <w:tcPr>
            <w:tcW w:w="622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质疑函原件应采用下列方式提交：</w:t>
            </w:r>
            <w:r>
              <w:rPr>
                <w:rFonts w:ascii="宋体" w:hAnsi="宋体" w:eastAsia="宋体" w:cs="宋体"/>
                <w:kern w:val="0"/>
                <w:sz w:val="24"/>
                <w:szCs w:val="24"/>
              </w:rPr>
              <w:t>书面形式。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1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10</w:t>
            </w:r>
          </w:p>
        </w:tc>
        <w:tc>
          <w:tcPr>
            <w:tcW w:w="144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   15.4</w:t>
            </w:r>
          </w:p>
          <w:p>
            <w:pPr>
              <w:widowControl/>
              <w:jc w:val="left"/>
              <w:rPr>
                <w:rFonts w:ascii="宋体" w:hAnsi="宋体" w:eastAsia="宋体" w:cs="宋体"/>
                <w:kern w:val="0"/>
                <w:sz w:val="24"/>
                <w:szCs w:val="24"/>
              </w:rPr>
            </w:pPr>
            <w:r>
              <w:rPr>
                <w:rFonts w:ascii="Calibri" w:hAnsi="Calibri" w:eastAsia="宋体" w:cs="宋体"/>
                <w:kern w:val="0"/>
                <w:sz w:val="24"/>
                <w:szCs w:val="24"/>
              </w:rPr>
              <w:t> </w:t>
            </w:r>
          </w:p>
          <w:p>
            <w:pPr>
              <w:widowControl/>
              <w:jc w:val="center"/>
              <w:rPr>
                <w:rFonts w:ascii="宋体" w:hAnsi="宋体" w:eastAsia="宋体" w:cs="宋体"/>
                <w:kern w:val="0"/>
                <w:sz w:val="24"/>
                <w:szCs w:val="24"/>
              </w:rPr>
            </w:pPr>
            <w:r>
              <w:rPr>
                <w:rFonts w:ascii="Calibri" w:hAnsi="Calibri" w:eastAsia="宋体" w:cs="宋体"/>
                <w:kern w:val="0"/>
                <w:sz w:val="24"/>
                <w:szCs w:val="24"/>
              </w:rPr>
              <w:t> </w:t>
            </w:r>
          </w:p>
        </w:tc>
        <w:tc>
          <w:tcPr>
            <w:tcW w:w="622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招标文件的质疑</w:t>
            </w:r>
          </w:p>
          <w:p>
            <w:pPr>
              <w:widowControl/>
              <w:jc w:val="left"/>
              <w:rPr>
                <w:rFonts w:ascii="宋体" w:hAnsi="宋体" w:eastAsia="宋体" w:cs="宋体"/>
                <w:kern w:val="0"/>
                <w:sz w:val="24"/>
                <w:szCs w:val="24"/>
              </w:rPr>
            </w:pPr>
            <w:r>
              <w:rPr>
                <w:rFonts w:ascii="宋体" w:hAnsi="宋体" w:eastAsia="宋体" w:cs="宋体"/>
                <w:kern w:val="0"/>
                <w:sz w:val="24"/>
                <w:szCs w:val="24"/>
              </w:rPr>
              <w:t>（1）潜在投标人可在质疑时效期间内对招标文件以书面形式提出质疑。</w:t>
            </w:r>
          </w:p>
          <w:p>
            <w:pPr>
              <w:widowControl/>
              <w:jc w:val="left"/>
              <w:rPr>
                <w:rFonts w:ascii="宋体" w:hAnsi="宋体" w:eastAsia="宋体" w:cs="宋体"/>
                <w:kern w:val="0"/>
                <w:sz w:val="24"/>
                <w:szCs w:val="24"/>
              </w:rPr>
            </w:pPr>
            <w:r>
              <w:rPr>
                <w:rFonts w:ascii="宋体" w:hAnsi="宋体" w:eastAsia="宋体" w:cs="宋体"/>
                <w:kern w:val="0"/>
                <w:sz w:val="24"/>
                <w:szCs w:val="24"/>
              </w:rPr>
              <w:t>（2）质疑时效期间：</w:t>
            </w:r>
          </w:p>
          <w:p>
            <w:pPr>
              <w:widowControl/>
              <w:jc w:val="left"/>
              <w:rPr>
                <w:rFonts w:ascii="宋体" w:hAnsi="宋体" w:eastAsia="宋体" w:cs="宋体"/>
                <w:kern w:val="0"/>
                <w:sz w:val="24"/>
                <w:szCs w:val="24"/>
              </w:rPr>
            </w:pPr>
            <w:r>
              <w:rPr>
                <w:rFonts w:ascii="宋体" w:hAnsi="宋体" w:eastAsia="宋体" w:cs="宋体"/>
                <w:kern w:val="0"/>
                <w:sz w:val="24"/>
                <w:szCs w:val="24"/>
              </w:rPr>
              <w:t>①在招标文件公告期限内：自招标文件首次</w:t>
            </w:r>
            <w:r>
              <w:rPr>
                <w:rFonts w:hint="eastAsia" w:ascii="宋体" w:hAnsi="宋体" w:eastAsia="宋体" w:cs="宋体"/>
                <w:kern w:val="0"/>
                <w:sz w:val="24"/>
                <w:szCs w:val="24"/>
              </w:rPr>
              <w:t>获得</w:t>
            </w:r>
            <w:r>
              <w:rPr>
                <w:rFonts w:ascii="宋体" w:hAnsi="宋体" w:eastAsia="宋体" w:cs="宋体"/>
                <w:kern w:val="0"/>
                <w:sz w:val="24"/>
                <w:szCs w:val="24"/>
              </w:rPr>
              <w:t>之日起</w:t>
            </w:r>
            <w:r>
              <w:rPr>
                <w:rFonts w:ascii="Times New Roman" w:hAnsi="Times New Roman" w:eastAsia="宋体" w:cs="Times New Roman"/>
                <w:kern w:val="0"/>
                <w:sz w:val="24"/>
                <w:szCs w:val="24"/>
              </w:rPr>
              <w:t>7</w:t>
            </w:r>
            <w:r>
              <w:rPr>
                <w:rFonts w:ascii="宋体" w:hAnsi="宋体" w:eastAsia="宋体" w:cs="宋体"/>
                <w:kern w:val="0"/>
                <w:sz w:val="24"/>
                <w:szCs w:val="24"/>
              </w:rPr>
              <w:t>个工作日内向</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提出，招标文件公告期限</w:t>
            </w:r>
            <w:r>
              <w:rPr>
                <w:rFonts w:hint="eastAsia" w:ascii="宋体" w:hAnsi="宋体" w:eastAsia="宋体" w:cs="宋体"/>
                <w:kern w:val="0"/>
                <w:sz w:val="24"/>
                <w:szCs w:val="24"/>
              </w:rPr>
              <w:t>以中国</w:t>
            </w:r>
            <w:r>
              <w:rPr>
                <w:rFonts w:ascii="宋体" w:hAnsi="宋体" w:eastAsia="宋体" w:cs="宋体"/>
                <w:kern w:val="0"/>
                <w:sz w:val="24"/>
                <w:szCs w:val="24"/>
              </w:rPr>
              <w:t>政府采购网上公开信息系统记载的为准。</w:t>
            </w:r>
          </w:p>
          <w:p>
            <w:pPr>
              <w:widowControl/>
              <w:jc w:val="left"/>
              <w:rPr>
                <w:rFonts w:ascii="宋体" w:hAnsi="宋体" w:eastAsia="宋体" w:cs="宋体"/>
                <w:kern w:val="0"/>
                <w:sz w:val="24"/>
                <w:szCs w:val="24"/>
              </w:rPr>
            </w:pPr>
            <w:r>
              <w:rPr>
                <w:rFonts w:ascii="宋体" w:hAnsi="宋体" w:eastAsia="宋体" w:cs="宋体"/>
                <w:kern w:val="0"/>
                <w:sz w:val="24"/>
                <w:szCs w:val="24"/>
              </w:rPr>
              <w:t>②在招标文件公告期限截止后至招标文件提供期限届满前的期间内：自招标文件公告期限届满之日起</w:t>
            </w:r>
            <w:r>
              <w:rPr>
                <w:rFonts w:ascii="Times New Roman" w:hAnsi="Times New Roman" w:eastAsia="宋体" w:cs="Times New Roman"/>
                <w:kern w:val="0"/>
                <w:sz w:val="24"/>
                <w:szCs w:val="24"/>
              </w:rPr>
              <w:t>7</w:t>
            </w:r>
            <w:r>
              <w:rPr>
                <w:rFonts w:ascii="宋体" w:hAnsi="宋体" w:eastAsia="宋体" w:cs="宋体"/>
                <w:kern w:val="0"/>
                <w:sz w:val="24"/>
                <w:szCs w:val="24"/>
              </w:rPr>
              <w:t>个工作日内向</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提出，招标文件公告期限、招标文件提供期限均以</w:t>
            </w:r>
            <w:r>
              <w:rPr>
                <w:rFonts w:hint="eastAsia" w:ascii="宋体" w:hAnsi="宋体" w:eastAsia="宋体" w:cs="宋体"/>
                <w:kern w:val="0"/>
                <w:sz w:val="24"/>
                <w:szCs w:val="24"/>
              </w:rPr>
              <w:t>中国</w:t>
            </w:r>
            <w:r>
              <w:rPr>
                <w:rFonts w:ascii="宋体" w:hAnsi="宋体" w:eastAsia="宋体" w:cs="宋体"/>
                <w:kern w:val="0"/>
                <w:sz w:val="24"/>
                <w:szCs w:val="24"/>
              </w:rPr>
              <w:t>政府采购网上公开信息系统记载的为准。</w:t>
            </w:r>
          </w:p>
          <w:p>
            <w:pPr>
              <w:widowControl/>
              <w:jc w:val="left"/>
              <w:rPr>
                <w:rFonts w:ascii="宋体" w:hAnsi="宋体" w:eastAsia="宋体" w:cs="宋体"/>
                <w:kern w:val="0"/>
                <w:sz w:val="24"/>
                <w:szCs w:val="24"/>
              </w:rPr>
            </w:pPr>
            <w:r>
              <w:rPr>
                <w:rFonts w:ascii="宋体" w:hAnsi="宋体" w:eastAsia="宋体" w:cs="宋体"/>
                <w:b/>
                <w:bCs/>
                <w:kern w:val="0"/>
                <w:sz w:val="24"/>
                <w:szCs w:val="24"/>
              </w:rPr>
              <w:t>※除上述规定外，对招标文件提出的质疑还应符合招标文件第三章第</w:t>
            </w:r>
            <w:r>
              <w:rPr>
                <w:rFonts w:ascii="Times New Roman" w:hAnsi="Times New Roman" w:eastAsia="宋体" w:cs="Times New Roman"/>
                <w:b/>
                <w:bCs/>
                <w:kern w:val="0"/>
                <w:sz w:val="24"/>
                <w:szCs w:val="24"/>
              </w:rPr>
              <w:t>15.1</w:t>
            </w:r>
            <w:r>
              <w:rPr>
                <w:rFonts w:ascii="宋体" w:hAnsi="宋体" w:eastAsia="宋体" w:cs="宋体"/>
                <w:b/>
                <w:bCs/>
                <w:kern w:val="0"/>
                <w:sz w:val="24"/>
                <w:szCs w:val="24"/>
              </w:rPr>
              <w:t>条的有关规定。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1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11</w:t>
            </w:r>
          </w:p>
        </w:tc>
        <w:tc>
          <w:tcPr>
            <w:tcW w:w="144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16.1</w:t>
            </w:r>
          </w:p>
        </w:tc>
        <w:tc>
          <w:tcPr>
            <w:tcW w:w="622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监督管理部门：</w:t>
            </w:r>
            <w:r>
              <w:rPr>
                <w:rFonts w:hint="eastAsia" w:ascii="宋体" w:hAnsi="宋体" w:eastAsia="宋体" w:cs="宋体"/>
                <w:kern w:val="0"/>
                <w:sz w:val="24"/>
                <w:szCs w:val="24"/>
              </w:rPr>
              <w:t>采购单位及上级监督部门</w:t>
            </w:r>
            <w:r>
              <w:rPr>
                <w:rFonts w:ascii="宋体" w:hAnsi="宋体" w:eastAsia="宋体" w:cs="宋体"/>
                <w:kern w:val="0"/>
                <w:sz w:val="24"/>
                <w:szCs w:val="24"/>
              </w:rPr>
              <w:t>（仅限依法进行政府采购的货物或服务类项目）。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1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12</w:t>
            </w:r>
          </w:p>
        </w:tc>
        <w:tc>
          <w:tcPr>
            <w:tcW w:w="144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18.1</w:t>
            </w:r>
          </w:p>
        </w:tc>
        <w:tc>
          <w:tcPr>
            <w:tcW w:w="622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财政部</w:t>
            </w:r>
            <w:r>
              <w:rPr>
                <w:rFonts w:hint="eastAsia" w:ascii="宋体" w:hAnsi="宋体" w:eastAsia="宋体" w:cs="宋体"/>
                <w:b/>
                <w:bCs/>
                <w:kern w:val="0"/>
                <w:sz w:val="24"/>
                <w:szCs w:val="24"/>
              </w:rPr>
              <w:t>门</w:t>
            </w:r>
            <w:r>
              <w:rPr>
                <w:rFonts w:ascii="宋体" w:hAnsi="宋体" w:eastAsia="宋体" w:cs="宋体"/>
                <w:b/>
                <w:bCs/>
                <w:kern w:val="0"/>
                <w:sz w:val="24"/>
                <w:szCs w:val="24"/>
              </w:rPr>
              <w:t>指定的政府采购信息发布媒体（以下简称：“指定媒体”）：</w:t>
            </w:r>
          </w:p>
          <w:p>
            <w:pPr>
              <w:widowControl/>
              <w:jc w:val="left"/>
              <w:rPr>
                <w:rFonts w:ascii="宋体" w:hAnsi="宋体" w:eastAsia="宋体" w:cs="宋体"/>
                <w:kern w:val="0"/>
                <w:sz w:val="24"/>
                <w:szCs w:val="24"/>
              </w:rPr>
            </w:pPr>
            <w:r>
              <w:rPr>
                <w:rFonts w:ascii="宋体" w:hAnsi="宋体" w:eastAsia="宋体" w:cs="宋体"/>
                <w:kern w:val="0"/>
                <w:sz w:val="24"/>
                <w:szCs w:val="24"/>
              </w:rPr>
              <w:t>（1）中国政府采购网，网址www.ccgp.gov.cn。</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1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13</w:t>
            </w:r>
          </w:p>
        </w:tc>
        <w:tc>
          <w:tcPr>
            <w:tcW w:w="144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19</w:t>
            </w:r>
          </w:p>
        </w:tc>
        <w:tc>
          <w:tcPr>
            <w:tcW w:w="622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其他事项：</w:t>
            </w:r>
          </w:p>
          <w:p>
            <w:pPr>
              <w:widowControl/>
              <w:jc w:val="left"/>
              <w:rPr>
                <w:rFonts w:ascii="宋体" w:hAnsi="宋体" w:eastAsia="宋体" w:cs="宋体"/>
                <w:kern w:val="0"/>
                <w:sz w:val="24"/>
                <w:szCs w:val="24"/>
              </w:rPr>
            </w:pPr>
            <w:r>
              <w:rPr>
                <w:rFonts w:ascii="宋体" w:hAnsi="宋体" w:eastAsia="宋体" w:cs="宋体"/>
                <w:b/>
                <w:bCs/>
                <w:kern w:val="0"/>
                <w:sz w:val="24"/>
                <w:szCs w:val="24"/>
              </w:rPr>
              <w:t>(1)本项目代理服务费由中标人支付。</w:t>
            </w:r>
            <w:r>
              <w:rPr>
                <w:rFonts w:ascii="宋体" w:hAnsi="宋体" w:eastAsia="宋体" w:cs="宋体"/>
                <w:b/>
                <w:bCs/>
                <w:kern w:val="0"/>
                <w:sz w:val="24"/>
                <w:szCs w:val="24"/>
              </w:rPr>
              <w:br w:type="textWrapping"/>
            </w:r>
            <w:r>
              <w:rPr>
                <w:rFonts w:ascii="宋体" w:hAnsi="宋体" w:eastAsia="宋体" w:cs="宋体"/>
                <w:b/>
                <w:bCs/>
                <w:kern w:val="0"/>
                <w:sz w:val="24"/>
                <w:szCs w:val="24"/>
              </w:rPr>
              <w:t>(2)其他：招标代理服务费:由中标人支付，</w:t>
            </w:r>
            <w:r>
              <w:rPr>
                <w:rFonts w:hint="eastAsia" w:ascii="宋体" w:hAnsi="宋体" w:eastAsia="宋体" w:cs="宋体"/>
                <w:b/>
                <w:bCs/>
                <w:kern w:val="0"/>
                <w:sz w:val="24"/>
                <w:szCs w:val="24"/>
              </w:rPr>
              <w:t>按照原国家计委（计价格〔2002〕1980号）标准计收,按差额定率累进法计算代理服务费。</w:t>
            </w:r>
            <w:r>
              <w:rPr>
                <w:rFonts w:ascii="宋体" w:hAnsi="宋体" w:eastAsia="宋体" w:cs="宋体"/>
                <w:b/>
                <w:bCs/>
                <w:kern w:val="0"/>
                <w:sz w:val="24"/>
                <w:szCs w:val="24"/>
              </w:rPr>
              <w:t>中标人应在中标公告发布后</w:t>
            </w:r>
            <w:r>
              <w:rPr>
                <w:rFonts w:hint="eastAsia" w:ascii="宋体" w:hAnsi="宋体" w:eastAsia="宋体" w:cs="宋体"/>
                <w:b/>
                <w:bCs/>
                <w:kern w:val="0"/>
                <w:sz w:val="24"/>
                <w:szCs w:val="24"/>
              </w:rPr>
              <w:t>五</w:t>
            </w:r>
            <w:r>
              <w:rPr>
                <w:rFonts w:ascii="宋体" w:hAnsi="宋体" w:eastAsia="宋体" w:cs="宋体"/>
                <w:b/>
                <w:bCs/>
                <w:kern w:val="0"/>
                <w:sz w:val="24"/>
                <w:szCs w:val="24"/>
              </w:rPr>
              <w:t>个工作日内，以电汇、</w:t>
            </w:r>
            <w:r>
              <w:rPr>
                <w:rFonts w:hint="eastAsia" w:ascii="宋体" w:hAnsi="宋体" w:eastAsia="宋体" w:cs="宋体"/>
                <w:b/>
                <w:bCs/>
                <w:kern w:val="0"/>
                <w:sz w:val="24"/>
                <w:szCs w:val="24"/>
              </w:rPr>
              <w:t>转账、</w:t>
            </w:r>
            <w:r>
              <w:rPr>
                <w:rFonts w:ascii="宋体" w:hAnsi="宋体" w:eastAsia="宋体" w:cs="宋体"/>
                <w:b/>
                <w:bCs/>
                <w:kern w:val="0"/>
                <w:sz w:val="24"/>
                <w:szCs w:val="24"/>
              </w:rPr>
              <w:t>票汇等方式(汇单须注明招标编号)向采购代理机构缴交。交纳招标服务费账户： 开户单位: 厦门市务实采购有限公司泉州分公司 开户银行：农业银行泉州</w:t>
            </w:r>
            <w:r>
              <w:rPr>
                <w:rFonts w:hint="eastAsia" w:ascii="宋体" w:hAnsi="宋体" w:eastAsia="宋体" w:cs="宋体"/>
                <w:b/>
                <w:bCs/>
                <w:kern w:val="0"/>
                <w:sz w:val="24"/>
                <w:szCs w:val="24"/>
              </w:rPr>
              <w:t>市</w:t>
            </w:r>
            <w:r>
              <w:rPr>
                <w:rFonts w:ascii="宋体" w:hAnsi="宋体" w:eastAsia="宋体" w:cs="宋体"/>
                <w:b/>
                <w:bCs/>
                <w:kern w:val="0"/>
                <w:sz w:val="24"/>
                <w:szCs w:val="24"/>
              </w:rPr>
              <w:t>分行 账号：13500101040024326</w:t>
            </w:r>
          </w:p>
        </w:tc>
      </w:tr>
    </w:tbl>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outlineLvl w:val="0"/>
        <w:rPr>
          <w:rFonts w:ascii="宋体" w:hAnsi="宋体" w:eastAsia="宋体" w:cs="宋体"/>
          <w:kern w:val="0"/>
          <w:sz w:val="24"/>
          <w:szCs w:val="24"/>
        </w:rPr>
      </w:pPr>
      <w:bookmarkStart w:id="2" w:name="_Toc26443"/>
      <w:r>
        <w:rPr>
          <w:rFonts w:ascii="宋体" w:hAnsi="宋体" w:eastAsia="宋体" w:cs="宋体"/>
          <w:b/>
          <w:bCs/>
          <w:kern w:val="0"/>
          <w:sz w:val="32"/>
        </w:rPr>
        <w:t>第三章   投标人须知</w:t>
      </w:r>
      <w:bookmarkEnd w:id="2"/>
    </w:p>
    <w:p>
      <w:pPr>
        <w:widowControl/>
        <w:spacing w:before="75" w:after="75"/>
        <w:jc w:val="left"/>
        <w:rPr>
          <w:rFonts w:ascii="宋体" w:hAnsi="宋体" w:eastAsia="宋体" w:cs="宋体"/>
          <w:kern w:val="0"/>
          <w:sz w:val="24"/>
          <w:szCs w:val="24"/>
        </w:rPr>
      </w:pP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一、总则</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1、适用范围</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1.1适用于招标文件载明项目的政府采购活动（以下简称：“本次采购活动”）。</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2、定义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2.1“采购标的”指招标文件载明的需要采购的货物或服务。</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2.2“潜在投标人”指按照招标文件第一章第</w:t>
      </w:r>
      <w:r>
        <w:rPr>
          <w:rFonts w:ascii="Calibri" w:hAnsi="Calibri" w:eastAsia="宋体" w:cs="宋体"/>
          <w:kern w:val="0"/>
          <w:sz w:val="24"/>
          <w:szCs w:val="24"/>
        </w:rPr>
        <w:t>7</w:t>
      </w:r>
      <w:r>
        <w:rPr>
          <w:rFonts w:ascii="宋体" w:hAnsi="宋体" w:eastAsia="宋体" w:cs="宋体"/>
          <w:kern w:val="0"/>
          <w:sz w:val="24"/>
          <w:szCs w:val="24"/>
        </w:rPr>
        <w:t>条规定进行报名且有意向参加本项目投标的供应商。</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2.3“投标人”指按照招标文件第一章第</w:t>
      </w:r>
      <w:r>
        <w:rPr>
          <w:rFonts w:ascii="Calibri" w:hAnsi="Calibri" w:eastAsia="宋体" w:cs="宋体"/>
          <w:kern w:val="0"/>
          <w:sz w:val="24"/>
          <w:szCs w:val="24"/>
        </w:rPr>
        <w:t>7</w:t>
      </w:r>
      <w:r>
        <w:rPr>
          <w:rFonts w:ascii="宋体" w:hAnsi="宋体" w:eastAsia="宋体" w:cs="宋体"/>
          <w:kern w:val="0"/>
          <w:sz w:val="24"/>
          <w:szCs w:val="24"/>
        </w:rPr>
        <w:t>条规定进行报名并参加本项目投标的供应商。</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2.4“单位负责人”指单位法定代表人或法律、法规规定代表单位行使职权的主要负责人。</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2.5“投标人代表”指投标人的单位负责人或“单位负责人授权书”中载明的接受授权方。</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二、投标人</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3、合格投标人</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3.1一般规定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（1）投标人应遵守政府采购法及实施条例、政府采购招投标管理办法、政府采购质疑和投诉办法及财政部、福建省财政厅有关政府采购文件的规定，同时还应遵守有关法律、法规和规章的强制性规定。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（2）投标人的资格要求：详见招标文件第一章。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3.2若本项目接受联合体投标且投标人为联合体，则联合体各方应遵守本章第3.1条规定，同时还应遵守下列规定：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（1）联合体各方应提交联合体协议，联合体协议应符合招标文件规定。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（2）联合体各方不得再单独参加或与其他供应商另外组成联合体参加同一合同项下的投标。</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（3）联合体各方应共同与采购人签订政府采购合同，就政府采购合同约定的事项对采购人承担连带责任。</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 xml:space="preserve"> (4）</w:t>
      </w:r>
      <w:r>
        <w:rPr>
          <w:rFonts w:ascii="宋体" w:hAnsi="宋体" w:eastAsia="宋体" w:cs="宋体"/>
          <w:kern w:val="0"/>
          <w:sz w:val="24"/>
          <w:szCs w:val="24"/>
        </w:rPr>
        <w:t>投标人为联合体的，投标人应由“联合体牵头方”完成具体流程（包括但不限于：报名、提交投标保证金、</w:t>
      </w:r>
      <w:r>
        <w:rPr>
          <w:rFonts w:hint="eastAsia" w:ascii="宋体" w:hAnsi="宋体" w:eastAsia="宋体" w:cs="宋体"/>
          <w:kern w:val="0"/>
          <w:sz w:val="24"/>
          <w:szCs w:val="24"/>
        </w:rPr>
        <w:t>投标证明材料</w:t>
      </w:r>
      <w:r>
        <w:rPr>
          <w:rFonts w:ascii="宋体" w:hAnsi="宋体" w:eastAsia="宋体" w:cs="宋体"/>
          <w:kern w:val="0"/>
          <w:sz w:val="24"/>
          <w:szCs w:val="24"/>
        </w:rPr>
        <w:t>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4、投标费用</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4.1除招标文件另有规定外，投标人应自行承担其参加本项目投标所涉及的一切费用。</w:t>
      </w:r>
    </w:p>
    <w:p>
      <w:pPr>
        <w:pStyle w:val="2"/>
      </w:pP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三、招标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5、招标文件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5.1招标文件由下述部分组成：</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（1）投标邀请</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（2）投标人须知前附表（表</w:t>
      </w:r>
      <w:r>
        <w:rPr>
          <w:rFonts w:ascii="Calibri" w:hAnsi="Calibri" w:eastAsia="宋体" w:cs="宋体"/>
          <w:kern w:val="0"/>
          <w:sz w:val="24"/>
          <w:szCs w:val="24"/>
        </w:rPr>
        <w:t>1</w:t>
      </w:r>
      <w:r>
        <w:rPr>
          <w:rFonts w:ascii="宋体" w:hAnsi="宋体" w:eastAsia="宋体" w:cs="宋体"/>
          <w:kern w:val="0"/>
          <w:sz w:val="24"/>
          <w:szCs w:val="24"/>
        </w:rPr>
        <w:t>、</w:t>
      </w:r>
      <w:r>
        <w:rPr>
          <w:rFonts w:ascii="Calibri" w:hAnsi="Calibri" w:eastAsia="宋体" w:cs="宋体"/>
          <w:kern w:val="0"/>
          <w:sz w:val="24"/>
          <w:szCs w:val="24"/>
        </w:rPr>
        <w:t>2</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（3）投标人须知</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（4）资格审查与评标</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（5）招标内容及要求</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（6）政府采购合同（参考文本）</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（7）投标文件格式</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（8）按照招标文件规定作为招标文件组成部分的其他内容（若有）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5.2招标文件的澄清或修改</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可对已发出的招标文件进行必要的澄清或修改，但不得对招标文件载明的采购标的和投标人的资格要求进行改变。</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（2）除本章第</w:t>
      </w:r>
      <w:r>
        <w:rPr>
          <w:rFonts w:ascii="Calibri" w:hAnsi="Calibri" w:eastAsia="宋体" w:cs="宋体"/>
          <w:kern w:val="0"/>
          <w:sz w:val="24"/>
          <w:szCs w:val="24"/>
        </w:rPr>
        <w:t>5.2</w:t>
      </w:r>
      <w:r>
        <w:rPr>
          <w:rFonts w:ascii="宋体" w:hAnsi="宋体" w:eastAsia="宋体" w:cs="宋体"/>
          <w:kern w:val="0"/>
          <w:sz w:val="24"/>
          <w:szCs w:val="24"/>
        </w:rPr>
        <w:t>条第（</w:t>
      </w:r>
      <w:r>
        <w:rPr>
          <w:rFonts w:ascii="Calibri" w:hAnsi="Calibri" w:eastAsia="宋体" w:cs="宋体"/>
          <w:kern w:val="0"/>
          <w:sz w:val="24"/>
          <w:szCs w:val="24"/>
        </w:rPr>
        <w:t>3</w:t>
      </w:r>
      <w:r>
        <w:rPr>
          <w:rFonts w:ascii="宋体" w:hAnsi="宋体" w:eastAsia="宋体" w:cs="宋体"/>
          <w:kern w:val="0"/>
          <w:sz w:val="24"/>
          <w:szCs w:val="24"/>
        </w:rPr>
        <w:t>）款规定情形外，澄清或修改的内容可能影响投标文件编制的，</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将在投标截止时间至少15个日历日前，在招标文件载明的指定媒体以更正公告的形式发布澄清或修改的内容。不足</w:t>
      </w:r>
      <w:r>
        <w:rPr>
          <w:rFonts w:ascii="Calibri" w:hAnsi="Calibri" w:eastAsia="宋体" w:cs="宋体"/>
          <w:kern w:val="0"/>
          <w:sz w:val="24"/>
          <w:szCs w:val="24"/>
        </w:rPr>
        <w:t>15</w:t>
      </w:r>
      <w:r>
        <w:rPr>
          <w:rFonts w:ascii="宋体" w:hAnsi="宋体" w:eastAsia="宋体" w:cs="宋体"/>
          <w:kern w:val="0"/>
          <w:sz w:val="24"/>
          <w:szCs w:val="24"/>
        </w:rPr>
        <w:t>个日历日的，</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将顺延投标截止时间及开标时间，</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和投标人受原投标截止时间及开标时间制约的所有权利和义务均延长至新的投标截止时间及开标时间。</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（3）澄清或修改的内容可能改变招标文件载明的采购标的和投标人的资格要求的，本次采购活动结束，</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将依法组织后续采购活动（包括但不限于：重新招标、采用其他方式采购等）。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6、现场考察或开标前答疑会</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6.1是否组织现场考察或召开开标前答疑会：详见招标文件第二章。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7、更正公告</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7.1若</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发布更正公告，则更正公告及其所发布的内容或信息（包括但不限于：招标文件的澄清或修改、现场考察或答疑会的有关事宜等）</w:t>
      </w:r>
      <w:r>
        <w:rPr>
          <w:rFonts w:ascii="宋体" w:hAnsi="宋体" w:eastAsia="宋体" w:cs="宋体"/>
          <w:b/>
          <w:bCs/>
          <w:kern w:val="0"/>
          <w:sz w:val="24"/>
          <w:szCs w:val="24"/>
        </w:rPr>
        <w:t>作为招标文件组成部分</w:t>
      </w:r>
      <w:r>
        <w:rPr>
          <w:rFonts w:ascii="宋体" w:hAnsi="宋体" w:eastAsia="宋体" w:cs="宋体"/>
          <w:kern w:val="0"/>
          <w:sz w:val="24"/>
          <w:szCs w:val="24"/>
        </w:rPr>
        <w:t>，对投标人具有约束力。</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7.2更正公告作为</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通知所有潜在投标人的书面形式。</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8、终止公告</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8.1若出现因重大变故导致采购任务取消情形，厦门市务实采购有限公司可终止招标并发布终止公告。</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8.2终止公告作为厦门市务实采购有限公司通知所有潜在投标人的书面形式。</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四、投标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9、投标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9.1投标人可对招标文件载明的全部或部分合同包进行投标。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9.2投标人应对同一个合同包内的所有内容进行完整投标，否则</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9.3投标人代表只能接受一个投标人的授权参加投标，否则</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9.4单位负责人为同一人或存在直接控股、管理关系的不同供应商，不得同时参加同一合同项下的投标，否则</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9.5为本项目提供整体设计、规范编制或项目管理、监理、检测等服务的供应商，不得参加本项目除整体设计、规范编制和项目管理、监理、检测等服务外的采购活动，否则</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9.6列入失信被执行人、重大税收违法案件当事人名单、政府采购严重违法失信行为记录名单及其他不符合政府采购法第二十二条规定条件的供应商，不得参加投标，否则</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9.7有下列情形之一的，视为投标人串通投标，</w:t>
      </w:r>
      <w:r>
        <w:rPr>
          <w:rFonts w:ascii="宋体" w:hAnsi="宋体" w:eastAsia="宋体" w:cs="宋体"/>
          <w:b/>
          <w:bCs/>
          <w:kern w:val="0"/>
          <w:sz w:val="24"/>
          <w:szCs w:val="24"/>
        </w:rPr>
        <w:t>其投标无效：</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（1）不同投标人的投标文件由同一单位或个人编制；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（2）不同投标人委托同一单位或个人办理投标事宜；</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（3）不同投标人的投标文件载明的项目管理成员或联系人员为同一人；</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（4）不同投标人的投标文件异常一致或投标报价呈规律性差异；</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（5）不同投标人的投标文件相互混装；</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（6）不同投标人的投标保证金从同一单位或个人的账户转出；</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（7）有关法律、法规和规章及招标文件规定的其他串通投标情形。</w:t>
      </w:r>
    </w:p>
    <w:p>
      <w:pPr>
        <w:widowControl/>
        <w:spacing w:before="75" w:after="75"/>
        <w:jc w:val="left"/>
        <w:rPr>
          <w:rFonts w:ascii="宋体" w:hAnsi="宋体" w:eastAsia="宋体" w:cs="宋体"/>
          <w:kern w:val="0"/>
          <w:sz w:val="24"/>
          <w:szCs w:val="24"/>
          <w:u w:val="single"/>
        </w:rPr>
      </w:pPr>
      <w:r>
        <w:rPr>
          <w:rFonts w:ascii="宋体" w:hAnsi="宋体" w:eastAsia="宋体" w:cs="宋体"/>
          <w:kern w:val="0"/>
          <w:sz w:val="24"/>
          <w:szCs w:val="24"/>
          <w:u w:val="single"/>
        </w:rPr>
        <w:t>10、投标文件</w:t>
      </w:r>
    </w:p>
    <w:p>
      <w:pPr>
        <w:widowControl/>
        <w:spacing w:before="75" w:after="75"/>
        <w:jc w:val="left"/>
        <w:rPr>
          <w:rFonts w:ascii="宋体" w:hAnsi="宋体" w:eastAsia="宋体" w:cs="宋体"/>
          <w:kern w:val="0"/>
          <w:sz w:val="24"/>
          <w:szCs w:val="24"/>
          <w:u w:val="single"/>
        </w:rPr>
      </w:pPr>
      <w:r>
        <w:rPr>
          <w:rFonts w:ascii="宋体" w:hAnsi="宋体" w:eastAsia="宋体" w:cs="宋体"/>
          <w:kern w:val="0"/>
          <w:sz w:val="24"/>
          <w:szCs w:val="24"/>
          <w:u w:val="single"/>
        </w:rPr>
        <w:t>10.1投标文件的编制</w:t>
      </w:r>
    </w:p>
    <w:p>
      <w:pPr>
        <w:widowControl/>
        <w:spacing w:before="75" w:after="75"/>
        <w:ind w:firstLine="480"/>
        <w:jc w:val="left"/>
        <w:rPr>
          <w:rFonts w:ascii="宋体" w:hAnsi="宋体" w:eastAsia="宋体" w:cs="宋体"/>
          <w:kern w:val="0"/>
          <w:sz w:val="24"/>
          <w:szCs w:val="24"/>
          <w:u w:val="single"/>
        </w:rPr>
      </w:pPr>
      <w:r>
        <w:rPr>
          <w:rFonts w:ascii="宋体" w:hAnsi="宋体" w:eastAsia="宋体" w:cs="宋体"/>
          <w:kern w:val="0"/>
          <w:sz w:val="24"/>
          <w:szCs w:val="24"/>
          <w:u w:val="single"/>
        </w:rPr>
        <w:t>（1）投标人应先仔细阅读招标文件的全部内容后，再进行投标文件的编制。</w:t>
      </w:r>
    </w:p>
    <w:p>
      <w:pPr>
        <w:widowControl/>
        <w:spacing w:before="75" w:after="75"/>
        <w:ind w:firstLine="480"/>
        <w:jc w:val="left"/>
        <w:rPr>
          <w:rFonts w:ascii="宋体" w:hAnsi="宋体" w:eastAsia="宋体" w:cs="宋体"/>
          <w:kern w:val="0"/>
          <w:sz w:val="24"/>
          <w:szCs w:val="24"/>
          <w:u w:val="single"/>
        </w:rPr>
      </w:pPr>
      <w:r>
        <w:rPr>
          <w:rFonts w:ascii="宋体" w:hAnsi="宋体" w:eastAsia="宋体" w:cs="宋体"/>
          <w:kern w:val="0"/>
          <w:sz w:val="24"/>
          <w:szCs w:val="24"/>
          <w:u w:val="single"/>
        </w:rPr>
        <w:t>（2）投标文件应按照本章第</w:t>
      </w:r>
      <w:r>
        <w:rPr>
          <w:rFonts w:ascii="Calibri" w:hAnsi="Calibri" w:eastAsia="宋体" w:cs="宋体"/>
          <w:kern w:val="0"/>
          <w:sz w:val="24"/>
          <w:szCs w:val="24"/>
          <w:u w:val="single"/>
        </w:rPr>
        <w:t>10.2</w:t>
      </w:r>
      <w:r>
        <w:rPr>
          <w:rFonts w:ascii="宋体" w:hAnsi="宋体" w:eastAsia="宋体" w:cs="宋体"/>
          <w:kern w:val="0"/>
          <w:sz w:val="24"/>
          <w:szCs w:val="24"/>
          <w:u w:val="single"/>
        </w:rPr>
        <w:t>条规定编制其组成部分。</w:t>
      </w:r>
    </w:p>
    <w:p>
      <w:pPr>
        <w:widowControl/>
        <w:spacing w:before="75" w:after="75"/>
        <w:ind w:firstLine="480"/>
        <w:jc w:val="left"/>
        <w:rPr>
          <w:rFonts w:ascii="宋体" w:hAnsi="宋体" w:eastAsia="宋体" w:cs="宋体"/>
          <w:kern w:val="0"/>
          <w:sz w:val="24"/>
          <w:szCs w:val="24"/>
          <w:u w:val="single"/>
        </w:rPr>
      </w:pPr>
      <w:r>
        <w:rPr>
          <w:rFonts w:ascii="宋体" w:hAnsi="宋体" w:eastAsia="宋体" w:cs="宋体"/>
          <w:kern w:val="0"/>
          <w:sz w:val="24"/>
          <w:szCs w:val="24"/>
          <w:u w:val="single"/>
        </w:rPr>
        <w:t>（3）投标文件应满足招标文件提出的实质性要求和条件，并保证其所提交的全部资料是不可割离且真实、有效、准确、完整和不具有任何误导性的，否则造成不利后果由投标人承担责任。</w:t>
      </w:r>
    </w:p>
    <w:p>
      <w:pPr>
        <w:widowControl/>
        <w:spacing w:before="75" w:after="75"/>
        <w:jc w:val="left"/>
        <w:rPr>
          <w:rFonts w:ascii="宋体" w:hAnsi="宋体" w:eastAsia="宋体" w:cs="宋体"/>
          <w:kern w:val="0"/>
          <w:sz w:val="24"/>
          <w:szCs w:val="24"/>
          <w:u w:val="single"/>
        </w:rPr>
      </w:pPr>
      <w:r>
        <w:rPr>
          <w:rFonts w:ascii="宋体" w:hAnsi="宋体" w:eastAsia="宋体" w:cs="宋体"/>
          <w:kern w:val="0"/>
          <w:sz w:val="24"/>
          <w:szCs w:val="24"/>
          <w:u w:val="single"/>
        </w:rPr>
        <w:t>10.2投标文件由下述部分组成：</w:t>
      </w:r>
    </w:p>
    <w:p>
      <w:pPr>
        <w:widowControl/>
        <w:spacing w:before="75" w:after="75"/>
        <w:ind w:firstLine="480"/>
        <w:jc w:val="left"/>
        <w:rPr>
          <w:rFonts w:ascii="宋体" w:hAnsi="宋体" w:eastAsia="宋体" w:cs="宋体"/>
          <w:kern w:val="0"/>
          <w:sz w:val="24"/>
          <w:szCs w:val="24"/>
          <w:u w:val="single"/>
        </w:rPr>
      </w:pPr>
      <w:r>
        <w:rPr>
          <w:rFonts w:ascii="宋体" w:hAnsi="宋体" w:eastAsia="宋体" w:cs="宋体"/>
          <w:kern w:val="0"/>
          <w:sz w:val="24"/>
          <w:szCs w:val="24"/>
          <w:u w:val="single"/>
        </w:rPr>
        <w:t>（1）资格及资信证明部分</w:t>
      </w:r>
    </w:p>
    <w:p>
      <w:pPr>
        <w:widowControl/>
        <w:spacing w:before="75" w:after="75"/>
        <w:ind w:firstLine="480"/>
        <w:jc w:val="left"/>
        <w:rPr>
          <w:rFonts w:ascii="宋体" w:hAnsi="宋体" w:eastAsia="宋体" w:cs="宋体"/>
          <w:kern w:val="0"/>
          <w:sz w:val="24"/>
          <w:szCs w:val="24"/>
          <w:u w:val="single"/>
        </w:rPr>
      </w:pPr>
      <w:r>
        <w:rPr>
          <w:rFonts w:hint="eastAsia" w:ascii="宋体" w:hAnsi="宋体" w:eastAsia="宋体" w:cs="宋体"/>
          <w:kern w:val="0"/>
          <w:sz w:val="24"/>
          <w:szCs w:val="24"/>
          <w:u w:val="single"/>
        </w:rPr>
        <w:t>①</w:t>
      </w:r>
      <w:r>
        <w:rPr>
          <w:rFonts w:ascii="宋体" w:hAnsi="宋体" w:eastAsia="宋体" w:cs="宋体"/>
          <w:kern w:val="0"/>
          <w:sz w:val="24"/>
          <w:szCs w:val="24"/>
          <w:u w:val="single"/>
        </w:rPr>
        <w:t>投标函</w:t>
      </w:r>
    </w:p>
    <w:p>
      <w:pPr>
        <w:widowControl/>
        <w:spacing w:before="75" w:after="75"/>
        <w:ind w:firstLine="480"/>
        <w:jc w:val="left"/>
        <w:rPr>
          <w:rFonts w:ascii="宋体" w:hAnsi="宋体" w:eastAsia="宋体" w:cs="宋体"/>
          <w:kern w:val="0"/>
          <w:sz w:val="24"/>
          <w:szCs w:val="24"/>
          <w:u w:val="single"/>
        </w:rPr>
      </w:pPr>
      <w:r>
        <w:rPr>
          <w:rFonts w:hint="eastAsia" w:ascii="宋体" w:hAnsi="宋体" w:eastAsia="宋体" w:cs="宋体"/>
          <w:kern w:val="0"/>
          <w:sz w:val="24"/>
          <w:szCs w:val="24"/>
          <w:u w:val="single"/>
        </w:rPr>
        <w:t>②</w:t>
      </w:r>
      <w:r>
        <w:rPr>
          <w:rFonts w:ascii="宋体" w:hAnsi="宋体" w:eastAsia="宋体" w:cs="宋体"/>
          <w:kern w:val="0"/>
          <w:sz w:val="24"/>
          <w:szCs w:val="24"/>
          <w:u w:val="single"/>
        </w:rPr>
        <w:t>投标人的资格及资信证明文件</w:t>
      </w:r>
    </w:p>
    <w:p>
      <w:pPr>
        <w:widowControl/>
        <w:spacing w:before="75" w:after="75"/>
        <w:ind w:firstLine="480"/>
        <w:jc w:val="left"/>
        <w:rPr>
          <w:rFonts w:ascii="宋体" w:hAnsi="宋体" w:eastAsia="宋体" w:cs="宋体"/>
          <w:kern w:val="0"/>
          <w:sz w:val="24"/>
          <w:szCs w:val="24"/>
          <w:u w:val="single"/>
        </w:rPr>
      </w:pPr>
      <w:r>
        <w:rPr>
          <w:rFonts w:hint="eastAsia" w:ascii="宋体" w:hAnsi="宋体" w:eastAsia="宋体" w:cs="宋体"/>
          <w:kern w:val="0"/>
          <w:sz w:val="24"/>
          <w:szCs w:val="24"/>
          <w:u w:val="single"/>
        </w:rPr>
        <w:t>③</w:t>
      </w:r>
      <w:r>
        <w:rPr>
          <w:rFonts w:ascii="宋体" w:hAnsi="宋体" w:eastAsia="宋体" w:cs="宋体"/>
          <w:kern w:val="0"/>
          <w:sz w:val="24"/>
          <w:szCs w:val="24"/>
          <w:u w:val="single"/>
        </w:rPr>
        <w:t>投标保证金</w:t>
      </w:r>
    </w:p>
    <w:p>
      <w:pPr>
        <w:widowControl/>
        <w:spacing w:before="75" w:after="75"/>
        <w:ind w:firstLine="480"/>
        <w:jc w:val="left"/>
        <w:rPr>
          <w:rFonts w:ascii="宋体" w:hAnsi="宋体" w:eastAsia="宋体" w:cs="宋体"/>
          <w:kern w:val="0"/>
          <w:sz w:val="24"/>
          <w:szCs w:val="24"/>
          <w:u w:val="single"/>
        </w:rPr>
      </w:pPr>
      <w:r>
        <w:rPr>
          <w:rFonts w:ascii="宋体" w:hAnsi="宋体" w:eastAsia="宋体" w:cs="宋体"/>
          <w:kern w:val="0"/>
          <w:sz w:val="24"/>
          <w:szCs w:val="24"/>
          <w:u w:val="single"/>
        </w:rPr>
        <w:t>（2）报价部分</w:t>
      </w:r>
    </w:p>
    <w:p>
      <w:pPr>
        <w:widowControl/>
        <w:spacing w:before="75" w:after="75"/>
        <w:ind w:firstLine="480"/>
        <w:jc w:val="left"/>
        <w:rPr>
          <w:rFonts w:ascii="宋体" w:hAnsi="宋体" w:eastAsia="宋体" w:cs="宋体"/>
          <w:kern w:val="0"/>
          <w:sz w:val="24"/>
          <w:szCs w:val="24"/>
          <w:u w:val="single"/>
        </w:rPr>
      </w:pPr>
      <w:r>
        <w:rPr>
          <w:rFonts w:hint="eastAsia" w:ascii="宋体" w:hAnsi="宋体" w:eastAsia="宋体" w:cs="宋体"/>
          <w:kern w:val="0"/>
          <w:sz w:val="24"/>
          <w:szCs w:val="24"/>
          <w:u w:val="single"/>
        </w:rPr>
        <w:t>①</w:t>
      </w:r>
      <w:r>
        <w:rPr>
          <w:rFonts w:ascii="宋体" w:hAnsi="宋体" w:eastAsia="宋体" w:cs="宋体"/>
          <w:kern w:val="0"/>
          <w:sz w:val="24"/>
          <w:szCs w:val="24"/>
          <w:u w:val="single"/>
        </w:rPr>
        <w:t>开标一览表</w:t>
      </w:r>
    </w:p>
    <w:p>
      <w:pPr>
        <w:widowControl/>
        <w:spacing w:before="75" w:after="75"/>
        <w:ind w:firstLine="480"/>
        <w:jc w:val="left"/>
        <w:rPr>
          <w:rFonts w:ascii="宋体" w:hAnsi="宋体" w:eastAsia="宋体" w:cs="宋体"/>
          <w:kern w:val="0"/>
          <w:sz w:val="24"/>
          <w:szCs w:val="24"/>
          <w:u w:val="single"/>
        </w:rPr>
      </w:pPr>
      <w:r>
        <w:rPr>
          <w:rFonts w:hint="eastAsia" w:ascii="宋体" w:hAnsi="宋体" w:eastAsia="宋体" w:cs="宋体"/>
          <w:kern w:val="0"/>
          <w:sz w:val="24"/>
          <w:szCs w:val="24"/>
          <w:u w:val="single"/>
        </w:rPr>
        <w:t>②</w:t>
      </w:r>
      <w:r>
        <w:rPr>
          <w:rFonts w:ascii="宋体" w:hAnsi="宋体" w:eastAsia="宋体" w:cs="宋体"/>
          <w:kern w:val="0"/>
          <w:sz w:val="24"/>
          <w:szCs w:val="24"/>
          <w:u w:val="single"/>
        </w:rPr>
        <w:t>投标分项报价表</w:t>
      </w:r>
    </w:p>
    <w:p>
      <w:pPr>
        <w:widowControl/>
        <w:spacing w:before="75" w:after="75"/>
        <w:ind w:firstLine="480"/>
        <w:jc w:val="left"/>
        <w:rPr>
          <w:rFonts w:ascii="宋体" w:hAnsi="宋体" w:eastAsia="宋体" w:cs="宋体"/>
          <w:kern w:val="0"/>
          <w:sz w:val="24"/>
          <w:szCs w:val="24"/>
          <w:u w:val="single"/>
        </w:rPr>
      </w:pPr>
      <w:r>
        <w:rPr>
          <w:rFonts w:hint="eastAsia" w:ascii="宋体" w:hAnsi="宋体" w:eastAsia="宋体" w:cs="宋体"/>
          <w:kern w:val="0"/>
          <w:sz w:val="24"/>
          <w:szCs w:val="24"/>
          <w:u w:val="single"/>
        </w:rPr>
        <w:t>③</w:t>
      </w:r>
      <w:r>
        <w:rPr>
          <w:rFonts w:ascii="宋体" w:hAnsi="宋体" w:eastAsia="宋体" w:cs="宋体"/>
          <w:kern w:val="0"/>
          <w:sz w:val="24"/>
          <w:szCs w:val="24"/>
          <w:u w:val="single"/>
        </w:rPr>
        <w:t>招标文件规定的价格扣除证明材料（若有）</w:t>
      </w:r>
    </w:p>
    <w:p>
      <w:pPr>
        <w:widowControl/>
        <w:spacing w:before="75" w:after="75"/>
        <w:ind w:firstLine="480"/>
        <w:jc w:val="left"/>
        <w:rPr>
          <w:rFonts w:ascii="宋体" w:hAnsi="宋体" w:eastAsia="宋体" w:cs="宋体"/>
          <w:kern w:val="0"/>
          <w:sz w:val="24"/>
          <w:szCs w:val="24"/>
          <w:u w:val="single"/>
        </w:rPr>
      </w:pPr>
      <w:r>
        <w:rPr>
          <w:rFonts w:hint="eastAsia" w:ascii="宋体" w:hAnsi="宋体" w:eastAsia="宋体" w:cs="宋体"/>
          <w:kern w:val="0"/>
          <w:sz w:val="24"/>
          <w:szCs w:val="24"/>
          <w:u w:val="single"/>
        </w:rPr>
        <w:t>④</w:t>
      </w:r>
      <w:r>
        <w:rPr>
          <w:rFonts w:ascii="宋体" w:hAnsi="宋体" w:eastAsia="宋体" w:cs="宋体"/>
          <w:kern w:val="0"/>
          <w:sz w:val="24"/>
          <w:szCs w:val="24"/>
          <w:u w:val="single"/>
        </w:rPr>
        <w:t>招标文件规定的加分证明材料（若有）</w:t>
      </w:r>
    </w:p>
    <w:p>
      <w:pPr>
        <w:widowControl/>
        <w:spacing w:before="75" w:after="75"/>
        <w:ind w:firstLine="480"/>
        <w:jc w:val="left"/>
        <w:rPr>
          <w:rFonts w:ascii="宋体" w:hAnsi="宋体" w:eastAsia="宋体" w:cs="宋体"/>
          <w:kern w:val="0"/>
          <w:sz w:val="24"/>
          <w:szCs w:val="24"/>
          <w:u w:val="single"/>
        </w:rPr>
      </w:pPr>
      <w:r>
        <w:rPr>
          <w:rFonts w:ascii="宋体" w:hAnsi="宋体" w:eastAsia="宋体" w:cs="宋体"/>
          <w:kern w:val="0"/>
          <w:sz w:val="24"/>
          <w:szCs w:val="24"/>
          <w:u w:val="single"/>
        </w:rPr>
        <w:t>（3）技术商务部分</w:t>
      </w:r>
    </w:p>
    <w:p>
      <w:pPr>
        <w:widowControl/>
        <w:spacing w:before="75" w:after="75"/>
        <w:ind w:firstLine="480"/>
        <w:jc w:val="left"/>
        <w:rPr>
          <w:rFonts w:ascii="宋体" w:hAnsi="宋体" w:eastAsia="宋体" w:cs="宋体"/>
          <w:kern w:val="0"/>
          <w:sz w:val="24"/>
          <w:szCs w:val="24"/>
          <w:u w:val="single"/>
        </w:rPr>
      </w:pPr>
      <w:r>
        <w:rPr>
          <w:rFonts w:hint="eastAsia" w:ascii="宋体" w:hAnsi="宋体" w:eastAsia="宋体" w:cs="宋体"/>
          <w:kern w:val="0"/>
          <w:sz w:val="24"/>
          <w:szCs w:val="24"/>
          <w:u w:val="single"/>
        </w:rPr>
        <w:t>①</w:t>
      </w:r>
      <w:r>
        <w:rPr>
          <w:rFonts w:ascii="宋体" w:hAnsi="宋体" w:eastAsia="宋体" w:cs="宋体"/>
          <w:kern w:val="0"/>
          <w:sz w:val="24"/>
          <w:szCs w:val="24"/>
          <w:u w:val="single"/>
        </w:rPr>
        <w:t>标的说明一览表</w:t>
      </w:r>
    </w:p>
    <w:p>
      <w:pPr>
        <w:widowControl/>
        <w:spacing w:before="75" w:after="75"/>
        <w:ind w:firstLine="480"/>
        <w:jc w:val="left"/>
        <w:rPr>
          <w:rFonts w:ascii="宋体" w:hAnsi="宋体" w:eastAsia="宋体" w:cs="宋体"/>
          <w:kern w:val="0"/>
          <w:sz w:val="24"/>
          <w:szCs w:val="24"/>
          <w:u w:val="single"/>
        </w:rPr>
      </w:pPr>
      <w:r>
        <w:rPr>
          <w:rFonts w:hint="eastAsia" w:ascii="宋体" w:hAnsi="宋体" w:eastAsia="宋体" w:cs="宋体"/>
          <w:kern w:val="0"/>
          <w:sz w:val="24"/>
          <w:szCs w:val="24"/>
          <w:u w:val="single"/>
        </w:rPr>
        <w:t>②</w:t>
      </w:r>
      <w:r>
        <w:rPr>
          <w:rFonts w:ascii="宋体" w:hAnsi="宋体" w:eastAsia="宋体" w:cs="宋体"/>
          <w:kern w:val="0"/>
          <w:sz w:val="24"/>
          <w:szCs w:val="24"/>
          <w:u w:val="single"/>
        </w:rPr>
        <w:t>技术和服务要求响应表</w:t>
      </w:r>
    </w:p>
    <w:p>
      <w:pPr>
        <w:widowControl/>
        <w:spacing w:before="75" w:after="75"/>
        <w:ind w:firstLine="480"/>
        <w:jc w:val="left"/>
        <w:rPr>
          <w:rFonts w:ascii="宋体" w:hAnsi="宋体" w:eastAsia="宋体" w:cs="宋体"/>
          <w:kern w:val="0"/>
          <w:sz w:val="24"/>
          <w:szCs w:val="24"/>
          <w:u w:val="single"/>
        </w:rPr>
      </w:pPr>
      <w:r>
        <w:rPr>
          <w:rFonts w:hint="eastAsia" w:ascii="宋体" w:hAnsi="宋体" w:eastAsia="宋体" w:cs="宋体"/>
          <w:kern w:val="0"/>
          <w:sz w:val="24"/>
          <w:szCs w:val="24"/>
          <w:u w:val="single"/>
        </w:rPr>
        <w:t>③</w:t>
      </w:r>
      <w:r>
        <w:rPr>
          <w:rFonts w:ascii="宋体" w:hAnsi="宋体" w:eastAsia="宋体" w:cs="宋体"/>
          <w:kern w:val="0"/>
          <w:sz w:val="24"/>
          <w:szCs w:val="24"/>
          <w:u w:val="single"/>
        </w:rPr>
        <w:t>商务条件响应表</w:t>
      </w:r>
    </w:p>
    <w:p>
      <w:pPr>
        <w:widowControl/>
        <w:spacing w:before="75" w:after="75"/>
        <w:ind w:firstLine="480"/>
        <w:jc w:val="left"/>
        <w:rPr>
          <w:rFonts w:ascii="宋体" w:hAnsi="宋体" w:eastAsia="宋体" w:cs="宋体"/>
          <w:kern w:val="0"/>
          <w:sz w:val="24"/>
          <w:szCs w:val="24"/>
          <w:u w:val="single"/>
        </w:rPr>
      </w:pPr>
      <w:r>
        <w:rPr>
          <w:rFonts w:hint="eastAsia" w:ascii="宋体" w:hAnsi="宋体" w:eastAsia="宋体" w:cs="宋体"/>
          <w:kern w:val="0"/>
          <w:sz w:val="24"/>
          <w:szCs w:val="24"/>
          <w:u w:val="single"/>
        </w:rPr>
        <w:t>④</w:t>
      </w:r>
      <w:r>
        <w:rPr>
          <w:rFonts w:ascii="宋体" w:hAnsi="宋体" w:eastAsia="宋体" w:cs="宋体"/>
          <w:kern w:val="0"/>
          <w:sz w:val="24"/>
          <w:szCs w:val="24"/>
          <w:u w:val="single"/>
        </w:rPr>
        <w:t>投标人提交的其他资料（若有）</w:t>
      </w:r>
    </w:p>
    <w:p>
      <w:pPr>
        <w:widowControl/>
        <w:spacing w:before="75" w:after="75"/>
        <w:ind w:firstLine="480"/>
        <w:jc w:val="left"/>
        <w:rPr>
          <w:rFonts w:ascii="宋体" w:hAnsi="宋体" w:eastAsia="宋体" w:cs="宋体"/>
          <w:kern w:val="0"/>
          <w:sz w:val="24"/>
          <w:szCs w:val="24"/>
          <w:u w:val="single"/>
        </w:rPr>
      </w:pPr>
      <w:r>
        <w:rPr>
          <w:rFonts w:hint="eastAsia" w:ascii="宋体" w:hAnsi="宋体" w:eastAsia="宋体" w:cs="宋体"/>
          <w:kern w:val="0"/>
          <w:sz w:val="24"/>
          <w:szCs w:val="24"/>
          <w:u w:val="single"/>
        </w:rPr>
        <w:t>⑤</w:t>
      </w:r>
      <w:r>
        <w:rPr>
          <w:rFonts w:ascii="宋体" w:hAnsi="宋体" w:eastAsia="宋体" w:cs="宋体"/>
          <w:kern w:val="0"/>
          <w:sz w:val="24"/>
          <w:szCs w:val="24"/>
          <w:u w:val="single"/>
        </w:rPr>
        <w:t>招标文件规定作为投标文件组成部分的其他内容（若有）</w:t>
      </w:r>
    </w:p>
    <w:p>
      <w:pPr>
        <w:widowControl/>
        <w:spacing w:before="75" w:after="75"/>
        <w:ind w:firstLine="480"/>
        <w:jc w:val="left"/>
        <w:rPr>
          <w:rFonts w:eastAsia="宋体"/>
          <w:u w:val="single"/>
        </w:rPr>
      </w:pPr>
      <w:r>
        <w:rPr>
          <w:rFonts w:hint="eastAsia" w:ascii="宋体" w:hAnsi="宋体" w:cs="Arial"/>
          <w:color w:val="000000" w:themeColor="text1"/>
          <w:sz w:val="24"/>
          <w:szCs w:val="24"/>
          <w:u w:val="single"/>
        </w:rPr>
        <w:t>说明：招标文件第五章主要设备技术参数中要求提供的证明或佐证材料，投标人应按顺序在投标文件技术商务部分中提供复印件，投标人提供也可提供扫描件，并保证所提供材料的真实性和清晰。否则由投标人承担一切不利后果。</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10.3投标文件的语言</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（1）除招标文件另有规定外，投标文件应使用中文文本，若有不同文本，以中文文本为准。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10.4投标文件的份数：详见招标文件第二章。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10.5投标文件的格式</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（1）除招标文件另有规定外，投标文件应使用招标文件第七章规定的格式。</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（2）除招标文件另有规定外，投标文件的正本和全部副本均应使用不能擦去的墨料或墨水打印、书写或复印，其中：</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正本应用</w:t>
      </w:r>
      <w:r>
        <w:rPr>
          <w:rFonts w:ascii="Calibri" w:hAnsi="Calibri" w:eastAsia="宋体" w:cs="宋体"/>
          <w:kern w:val="0"/>
          <w:sz w:val="24"/>
          <w:szCs w:val="24"/>
        </w:rPr>
        <w:t>A4</w:t>
      </w:r>
      <w:r>
        <w:rPr>
          <w:rFonts w:ascii="宋体" w:hAnsi="宋体" w:eastAsia="宋体" w:cs="宋体"/>
          <w:kern w:val="0"/>
          <w:sz w:val="24"/>
          <w:szCs w:val="24"/>
        </w:rPr>
        <w:t>幅面纸张打印装订，编制封面（封面标明“正本”字样）、索引、页码，并用胶装装订成册。</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副本应用</w:t>
      </w:r>
      <w:r>
        <w:rPr>
          <w:rFonts w:ascii="Calibri" w:hAnsi="Calibri" w:eastAsia="宋体" w:cs="宋体"/>
          <w:kern w:val="0"/>
          <w:sz w:val="24"/>
          <w:szCs w:val="24"/>
        </w:rPr>
        <w:t>A4</w:t>
      </w:r>
      <w:r>
        <w:rPr>
          <w:rFonts w:ascii="宋体" w:hAnsi="宋体" w:eastAsia="宋体" w:cs="宋体"/>
          <w:kern w:val="0"/>
          <w:sz w:val="24"/>
          <w:szCs w:val="24"/>
        </w:rPr>
        <w:t>幅面纸张打印装订，编制封面（封面标明“副本”字样）、索引、页码，并用胶装装订成册；副本可用正本的完整复印件，并与正本保持一致（若不一致，以正本为准）。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允许散装或活页装订的内容或材料：详见招标文件第二章。</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除本章第</w:t>
      </w:r>
      <w:r>
        <w:rPr>
          <w:rFonts w:ascii="Calibri" w:hAnsi="Calibri" w:eastAsia="宋体" w:cs="宋体"/>
          <w:b/>
          <w:bCs/>
          <w:kern w:val="0"/>
          <w:sz w:val="24"/>
          <w:szCs w:val="24"/>
        </w:rPr>
        <w:t>10.5</w:t>
      </w:r>
      <w:r>
        <w:rPr>
          <w:rFonts w:ascii="宋体" w:hAnsi="宋体" w:eastAsia="宋体" w:cs="宋体"/>
          <w:b/>
          <w:bCs/>
          <w:kern w:val="0"/>
          <w:sz w:val="24"/>
          <w:szCs w:val="24"/>
        </w:rPr>
        <w:t>条第（</w:t>
      </w:r>
      <w:r>
        <w:rPr>
          <w:rFonts w:ascii="Calibri" w:hAnsi="Calibri" w:eastAsia="宋体" w:cs="宋体"/>
          <w:b/>
          <w:bCs/>
          <w:kern w:val="0"/>
          <w:sz w:val="24"/>
          <w:szCs w:val="24"/>
        </w:rPr>
        <w:t>2</w:t>
      </w:r>
      <w:r>
        <w:rPr>
          <w:rFonts w:ascii="宋体" w:hAnsi="宋体" w:eastAsia="宋体" w:cs="宋体"/>
          <w:b/>
          <w:bCs/>
          <w:kern w:val="0"/>
          <w:sz w:val="24"/>
          <w:szCs w:val="24"/>
        </w:rPr>
        <w:t>）款第</w:t>
      </w:r>
      <w:r>
        <w:rPr>
          <w:rFonts w:hint="eastAsia" w:ascii="宋体" w:hAnsi="宋体" w:eastAsia="宋体" w:cs="宋体"/>
          <w:b/>
          <w:bCs/>
          <w:kern w:val="0"/>
          <w:sz w:val="24"/>
          <w:szCs w:val="24"/>
        </w:rPr>
        <w:t>③</w:t>
      </w:r>
      <w:r>
        <w:rPr>
          <w:rFonts w:ascii="宋体" w:hAnsi="宋体" w:eastAsia="宋体" w:cs="宋体"/>
          <w:b/>
          <w:bCs/>
          <w:kern w:val="0"/>
          <w:sz w:val="24"/>
          <w:szCs w:val="24"/>
        </w:rPr>
        <w:t>点规定情形外，投标文件散装或活页装订将导致投标无效。</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（3）除招标文件另有规定外，投标文件应使用人民币作为计量货币。</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（4）除招标文件另有规定外，签署、盖章应遵守下列规定：</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投标文件应由投标人代表签字并加盖投标人的单位公章。若投标人代表为单位负责人授权的委托代理人，应提供“单位负责人授权书”。</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投标文件应没有涂改或行间插字，除非这些改动是根据</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的指示进行的，或是为改正投标人造成的应修改的错误而进行的。若有前述改动，应按照下列规定之一对改动处进行处理：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a.投标人代表签字确认；</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b.加盖投标人的单位公章或校正章。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10.6投标报价</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（1）投标报价超出最高限价将导致</w:t>
      </w:r>
      <w:r>
        <w:rPr>
          <w:rFonts w:ascii="宋体" w:hAnsi="宋体" w:eastAsia="宋体" w:cs="宋体"/>
          <w:b/>
          <w:bCs/>
          <w:kern w:val="0"/>
          <w:sz w:val="24"/>
          <w:szCs w:val="24"/>
        </w:rPr>
        <w:t>投标无效。</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（2）最高限价由采购人根据价格测算情况，在预算金额的额度内合理设定。最高限价不得超出预算金额。</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（3）除招标文件另有规定外，投标文件不能出现任何选择性的投标报价，即每一个合同包和品目号的采购标的都只能有一个投标报价。任何选择性的投标报价将导致</w:t>
      </w:r>
      <w:r>
        <w:rPr>
          <w:rFonts w:ascii="宋体" w:hAnsi="宋体" w:eastAsia="宋体" w:cs="宋体"/>
          <w:b/>
          <w:bCs/>
          <w:kern w:val="0"/>
          <w:sz w:val="24"/>
          <w:szCs w:val="24"/>
        </w:rPr>
        <w:t>投标无效。</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10.7分包</w:t>
      </w:r>
    </w:p>
    <w:p>
      <w:pPr>
        <w:widowControl/>
        <w:spacing w:before="75" w:after="75"/>
        <w:ind w:firstLine="480"/>
        <w:jc w:val="left"/>
        <w:rPr>
          <w:rFonts w:ascii="宋体" w:hAnsi="宋体" w:eastAsia="宋体" w:cs="宋体"/>
          <w:color w:val="000000" w:themeColor="text1"/>
          <w:kern w:val="0"/>
          <w:sz w:val="24"/>
          <w:szCs w:val="24"/>
        </w:rPr>
      </w:pPr>
      <w:r>
        <w:rPr>
          <w:rFonts w:ascii="宋体" w:hAnsi="宋体" w:eastAsia="宋体" w:cs="宋体"/>
          <w:kern w:val="0"/>
          <w:sz w:val="24"/>
          <w:szCs w:val="24"/>
        </w:rPr>
        <w:t>（1）是否允许中标人将本项目的非主体、非关键性工作进行分包：</w:t>
      </w:r>
      <w:r>
        <w:rPr>
          <w:rFonts w:hint="eastAsia" w:ascii="宋体" w:hAnsi="宋体" w:eastAsia="宋体" w:cs="宋体"/>
          <w:color w:val="000000" w:themeColor="text1"/>
          <w:kern w:val="0"/>
          <w:sz w:val="24"/>
          <w:szCs w:val="24"/>
        </w:rPr>
        <w:t>不允许。</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10.8投标有效期</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（1）招标文件载明的投标有效期：详见招标文件第二章。</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（2）投标文件承诺的投标有效期不得少于招标文件载明的投标有效期，否则</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（3）根据本次采购活动的需要，</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可于投标有效期届满之前书面要求投标人延长投标有效期，投标人应在</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10.9投标保证金</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（1）投标保证金作为投标人按照招标文件规定履行相应投标责任、义务的约束及担保。</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（2）投标保证金的有效期应与投标文件承诺的投标有效期保持一致，否则</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（3）提交</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投标人应从其银行账户</w:t>
      </w:r>
      <w:r>
        <w:rPr>
          <w:rFonts w:ascii="宋体" w:hAnsi="宋体" w:eastAsia="宋体" w:cs="宋体"/>
          <w:b/>
          <w:bCs/>
          <w:kern w:val="0"/>
          <w:sz w:val="24"/>
          <w:szCs w:val="24"/>
        </w:rPr>
        <w:t>（基本存款账户）</w:t>
      </w:r>
      <w:r>
        <w:rPr>
          <w:rFonts w:ascii="宋体" w:hAnsi="宋体" w:eastAsia="宋体" w:cs="宋体"/>
          <w:kern w:val="0"/>
          <w:sz w:val="24"/>
          <w:szCs w:val="24"/>
        </w:rPr>
        <w:t>按照下列方式：</w:t>
      </w:r>
      <w:r>
        <w:rPr>
          <w:rFonts w:ascii="宋体" w:hAnsi="宋体" w:eastAsia="宋体" w:cs="宋体"/>
          <w:b/>
          <w:bCs/>
          <w:kern w:val="0"/>
          <w:sz w:val="24"/>
          <w:szCs w:val="24"/>
        </w:rPr>
        <w:t>公对公转账方式</w:t>
      </w:r>
      <w:r>
        <w:rPr>
          <w:rFonts w:ascii="宋体" w:hAnsi="宋体" w:eastAsia="宋体" w:cs="宋体"/>
          <w:kern w:val="0"/>
          <w:sz w:val="24"/>
          <w:szCs w:val="24"/>
        </w:rPr>
        <w:t>向招标文件载明的投标保证金账户提交投标保证金，具体金额详见招标文件第一章。</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投标保证金应于投标截止时间前到达招标文件载明的投标保证金账户，否则视为投标保证金未提交；是否到达按照下列方式认定：</w:t>
      </w:r>
      <w:r>
        <w:rPr>
          <w:rFonts w:ascii="宋体" w:hAnsi="宋体" w:eastAsia="宋体" w:cs="宋体"/>
          <w:b/>
          <w:bCs/>
          <w:kern w:val="0"/>
          <w:sz w:val="24"/>
          <w:szCs w:val="24"/>
        </w:rPr>
        <w:t>以</w:t>
      </w:r>
      <w:r>
        <w:rPr>
          <w:rFonts w:hint="eastAsia" w:ascii="宋体" w:hAnsi="宋体" w:eastAsia="宋体" w:cs="宋体"/>
          <w:b/>
          <w:bCs/>
          <w:kern w:val="0"/>
          <w:sz w:val="24"/>
          <w:szCs w:val="24"/>
        </w:rPr>
        <w:t>银行进帐</w:t>
      </w:r>
      <w:r>
        <w:rPr>
          <w:rFonts w:ascii="宋体" w:hAnsi="宋体" w:eastAsia="宋体" w:cs="宋体"/>
          <w:b/>
          <w:bCs/>
          <w:kern w:val="0"/>
          <w:sz w:val="24"/>
          <w:szCs w:val="24"/>
        </w:rPr>
        <w:t>为准。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若本项目接受联合体投标且投标人为联合体，则联合体中的牵头方应按照本章第</w:t>
      </w:r>
      <w:r>
        <w:rPr>
          <w:rFonts w:ascii="Calibri" w:hAnsi="Calibri" w:eastAsia="宋体" w:cs="宋体"/>
          <w:kern w:val="0"/>
          <w:sz w:val="24"/>
          <w:szCs w:val="24"/>
        </w:rPr>
        <w:t>10.9</w:t>
      </w:r>
      <w:r>
        <w:rPr>
          <w:rFonts w:ascii="宋体" w:hAnsi="宋体" w:eastAsia="宋体" w:cs="宋体"/>
          <w:kern w:val="0"/>
          <w:sz w:val="24"/>
          <w:szCs w:val="24"/>
        </w:rPr>
        <w:t>条第（</w:t>
      </w:r>
      <w:r>
        <w:rPr>
          <w:rFonts w:ascii="Calibri" w:hAnsi="Calibri" w:eastAsia="宋体" w:cs="宋体"/>
          <w:kern w:val="0"/>
          <w:sz w:val="24"/>
          <w:szCs w:val="24"/>
        </w:rPr>
        <w:t>3</w:t>
      </w:r>
      <w:r>
        <w:rPr>
          <w:rFonts w:ascii="宋体" w:hAnsi="宋体" w:eastAsia="宋体" w:cs="宋体"/>
          <w:kern w:val="0"/>
          <w:sz w:val="24"/>
          <w:szCs w:val="24"/>
        </w:rPr>
        <w:t>）款第</w:t>
      </w:r>
      <w:r>
        <w:rPr>
          <w:rFonts w:hint="eastAsia" w:ascii="宋体" w:hAnsi="宋体" w:eastAsia="宋体" w:cs="宋体"/>
          <w:kern w:val="0"/>
          <w:sz w:val="24"/>
          <w:szCs w:val="24"/>
        </w:rPr>
        <w:t>①</w:t>
      </w:r>
      <w:r>
        <w:rPr>
          <w:rFonts w:ascii="宋体" w:hAnsi="宋体" w:eastAsia="宋体" w:cs="宋体"/>
          <w:kern w:val="0"/>
          <w:sz w:val="24"/>
          <w:szCs w:val="24"/>
        </w:rPr>
        <w:t>、</w:t>
      </w:r>
      <w:r>
        <w:rPr>
          <w:rFonts w:hint="eastAsia" w:ascii="宋体" w:hAnsi="宋体" w:eastAsia="宋体" w:cs="宋体"/>
          <w:kern w:val="0"/>
          <w:sz w:val="24"/>
          <w:szCs w:val="24"/>
        </w:rPr>
        <w:t>②</w:t>
      </w:r>
      <w:r>
        <w:rPr>
          <w:rFonts w:ascii="宋体" w:hAnsi="宋体" w:eastAsia="宋体" w:cs="宋体"/>
          <w:kern w:val="0"/>
          <w:sz w:val="24"/>
          <w:szCs w:val="24"/>
        </w:rPr>
        <w:t>点规定提交投标保证金。</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除招标文件另有规定外，未按照上述规定提交投标保证金将导致资格审查不合格。</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（4）退还</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在投标截止时间前撤回已提交的投标文件的投标人，其投标保证金将在</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收到投标人书面撤回通知之日起5个工作日内退回原账户。</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未中标人的投标保证金将在中标通知书发出之日起</w:t>
      </w:r>
      <w:r>
        <w:rPr>
          <w:rFonts w:ascii="Calibri" w:hAnsi="Calibri" w:eastAsia="宋体" w:cs="宋体"/>
          <w:kern w:val="0"/>
          <w:sz w:val="24"/>
          <w:szCs w:val="24"/>
        </w:rPr>
        <w:t>5</w:t>
      </w:r>
      <w:r>
        <w:rPr>
          <w:rFonts w:ascii="宋体" w:hAnsi="宋体" w:eastAsia="宋体" w:cs="宋体"/>
          <w:kern w:val="0"/>
          <w:sz w:val="24"/>
          <w:szCs w:val="24"/>
        </w:rPr>
        <w:t>个工作日内退回原账户。</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中标人的投标保证金将在政府采购合同签订之日起</w:t>
      </w:r>
      <w:r>
        <w:rPr>
          <w:rFonts w:ascii="Calibri" w:hAnsi="Calibri" w:eastAsia="宋体" w:cs="宋体"/>
          <w:kern w:val="0"/>
          <w:sz w:val="24"/>
          <w:szCs w:val="24"/>
        </w:rPr>
        <w:t>5</w:t>
      </w:r>
      <w:r>
        <w:rPr>
          <w:rFonts w:ascii="宋体" w:hAnsi="宋体" w:eastAsia="宋体" w:cs="宋体"/>
          <w:kern w:val="0"/>
          <w:sz w:val="24"/>
          <w:szCs w:val="24"/>
        </w:rPr>
        <w:t>个工作日内退回原账户</w:t>
      </w:r>
      <w:r>
        <w:rPr>
          <w:rFonts w:ascii="宋体" w:hAnsi="宋体" w:eastAsia="宋体" w:cs="宋体"/>
          <w:b/>
          <w:bCs/>
          <w:kern w:val="0"/>
          <w:sz w:val="24"/>
          <w:szCs w:val="24"/>
        </w:rPr>
        <w:t>。</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终止招标的，</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将在终止公告发布之日起5个工作日内退回已收取的投标保证金及其在银行产生的孳息。</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除招标文件另有规定外，质疑或投诉涉及的投标人，若投标保证金尚未退还，则待质疑或投诉处理完毕后不计利息原额退还。</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本章第</w:t>
      </w:r>
      <w:r>
        <w:rPr>
          <w:rFonts w:ascii="Calibri" w:hAnsi="Calibri" w:eastAsia="宋体" w:cs="宋体"/>
          <w:b/>
          <w:bCs/>
          <w:kern w:val="0"/>
          <w:sz w:val="24"/>
          <w:szCs w:val="24"/>
        </w:rPr>
        <w:t>10.9</w:t>
      </w:r>
      <w:r>
        <w:rPr>
          <w:rFonts w:ascii="宋体" w:hAnsi="宋体" w:eastAsia="宋体" w:cs="宋体"/>
          <w:b/>
          <w:bCs/>
          <w:kern w:val="0"/>
          <w:sz w:val="24"/>
          <w:szCs w:val="24"/>
        </w:rPr>
        <w:t>条第（</w:t>
      </w:r>
      <w:r>
        <w:rPr>
          <w:rFonts w:ascii="Calibri" w:hAnsi="Calibri" w:eastAsia="宋体" w:cs="宋体"/>
          <w:b/>
          <w:bCs/>
          <w:kern w:val="0"/>
          <w:sz w:val="24"/>
          <w:szCs w:val="24"/>
        </w:rPr>
        <w:t>4</w:t>
      </w:r>
      <w:r>
        <w:rPr>
          <w:rFonts w:ascii="宋体" w:hAnsi="宋体" w:eastAsia="宋体" w:cs="宋体"/>
          <w:b/>
          <w:bCs/>
          <w:kern w:val="0"/>
          <w:sz w:val="24"/>
          <w:szCs w:val="24"/>
        </w:rPr>
        <w:t>）款第</w:t>
      </w:r>
      <w:r>
        <w:rPr>
          <w:rFonts w:hint="eastAsia" w:ascii="宋体" w:hAnsi="宋体" w:eastAsia="宋体" w:cs="宋体"/>
          <w:b/>
          <w:bCs/>
          <w:kern w:val="0"/>
          <w:sz w:val="24"/>
          <w:szCs w:val="24"/>
        </w:rPr>
        <w:t>①</w:t>
      </w:r>
      <w:r>
        <w:rPr>
          <w:rFonts w:ascii="宋体" w:hAnsi="宋体" w:eastAsia="宋体" w:cs="宋体"/>
          <w:b/>
          <w:bCs/>
          <w:kern w:val="0"/>
          <w:sz w:val="24"/>
          <w:szCs w:val="24"/>
        </w:rPr>
        <w:t>、</w:t>
      </w:r>
      <w:r>
        <w:rPr>
          <w:rFonts w:hint="eastAsia" w:ascii="宋体" w:hAnsi="宋体" w:eastAsia="宋体" w:cs="宋体"/>
          <w:b/>
          <w:bCs/>
          <w:kern w:val="0"/>
          <w:sz w:val="24"/>
          <w:szCs w:val="24"/>
        </w:rPr>
        <w:t>②</w:t>
      </w:r>
      <w:r>
        <w:rPr>
          <w:rFonts w:ascii="宋体" w:hAnsi="宋体" w:eastAsia="宋体" w:cs="宋体"/>
          <w:b/>
          <w:bCs/>
          <w:kern w:val="0"/>
          <w:sz w:val="24"/>
          <w:szCs w:val="24"/>
        </w:rPr>
        <w:t>、</w:t>
      </w:r>
      <w:r>
        <w:rPr>
          <w:rFonts w:hint="eastAsia" w:ascii="宋体" w:hAnsi="宋体" w:eastAsia="宋体" w:cs="宋体"/>
          <w:b/>
          <w:bCs/>
          <w:kern w:val="0"/>
          <w:sz w:val="24"/>
          <w:szCs w:val="24"/>
        </w:rPr>
        <w:t>③</w:t>
      </w:r>
      <w:r>
        <w:rPr>
          <w:rFonts w:ascii="宋体" w:hAnsi="宋体" w:eastAsia="宋体" w:cs="宋体"/>
          <w:b/>
          <w:bCs/>
          <w:kern w:val="0"/>
          <w:sz w:val="24"/>
          <w:szCs w:val="24"/>
        </w:rPr>
        <w:t>点规定的投标保证金退还时限不包括因投标人自身原因导致无法及时退还而增加的时间。</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（5）若出现本章第</w:t>
      </w:r>
      <w:r>
        <w:rPr>
          <w:rFonts w:ascii="Calibri" w:hAnsi="Calibri" w:eastAsia="宋体" w:cs="宋体"/>
          <w:kern w:val="0"/>
          <w:sz w:val="24"/>
          <w:szCs w:val="24"/>
        </w:rPr>
        <w:t>10.8</w:t>
      </w:r>
      <w:r>
        <w:rPr>
          <w:rFonts w:ascii="宋体" w:hAnsi="宋体" w:eastAsia="宋体" w:cs="宋体"/>
          <w:kern w:val="0"/>
          <w:sz w:val="24"/>
          <w:szCs w:val="24"/>
        </w:rPr>
        <w:t>条第（</w:t>
      </w:r>
      <w:r>
        <w:rPr>
          <w:rFonts w:ascii="Calibri" w:hAnsi="Calibri" w:eastAsia="宋体" w:cs="宋体"/>
          <w:kern w:val="0"/>
          <w:sz w:val="24"/>
          <w:szCs w:val="24"/>
        </w:rPr>
        <w:t>3</w:t>
      </w:r>
      <w:r>
        <w:rPr>
          <w:rFonts w:ascii="宋体" w:hAnsi="宋体" w:eastAsia="宋体" w:cs="宋体"/>
          <w:kern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（6）有下列情形之一的，投标保证金将不予退还：</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投标人串通投标；</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投标人提供虚假材料；</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投标人采取不正当手段诋毁、排挤其他投标人；</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投标截止时间后，投标人在投标有效期内撤销投标文件；</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投标人不接受评标委员会按照招标文件规定对投标报价错误之处进行修正；</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⑥</w:t>
      </w:r>
      <w:r>
        <w:rPr>
          <w:rFonts w:ascii="宋体" w:hAnsi="宋体" w:eastAsia="宋体" w:cs="宋体"/>
          <w:kern w:val="0"/>
          <w:sz w:val="24"/>
          <w:szCs w:val="24"/>
        </w:rPr>
        <w:t>投标人违反招标文件第三章第</w:t>
      </w:r>
      <w:r>
        <w:rPr>
          <w:rFonts w:ascii="Calibri" w:hAnsi="Calibri" w:eastAsia="宋体" w:cs="宋体"/>
          <w:kern w:val="0"/>
          <w:sz w:val="24"/>
          <w:szCs w:val="24"/>
        </w:rPr>
        <w:t>9.4</w:t>
      </w:r>
      <w:r>
        <w:rPr>
          <w:rFonts w:ascii="宋体" w:hAnsi="宋体" w:eastAsia="宋体" w:cs="宋体"/>
          <w:kern w:val="0"/>
          <w:sz w:val="24"/>
          <w:szCs w:val="24"/>
        </w:rPr>
        <w:t>、</w:t>
      </w:r>
      <w:r>
        <w:rPr>
          <w:rFonts w:ascii="Calibri" w:hAnsi="Calibri" w:eastAsia="宋体" w:cs="宋体"/>
          <w:kern w:val="0"/>
          <w:sz w:val="24"/>
          <w:szCs w:val="24"/>
        </w:rPr>
        <w:t>9.5</w:t>
      </w:r>
      <w:r>
        <w:rPr>
          <w:rFonts w:ascii="宋体" w:hAnsi="宋体" w:eastAsia="宋体" w:cs="宋体"/>
          <w:kern w:val="0"/>
          <w:sz w:val="24"/>
          <w:szCs w:val="24"/>
        </w:rPr>
        <w:t>、</w:t>
      </w:r>
      <w:r>
        <w:rPr>
          <w:rFonts w:ascii="Calibri" w:hAnsi="Calibri" w:eastAsia="宋体" w:cs="宋体"/>
          <w:kern w:val="0"/>
          <w:sz w:val="24"/>
          <w:szCs w:val="24"/>
        </w:rPr>
        <w:t>9.6</w:t>
      </w:r>
      <w:r>
        <w:rPr>
          <w:rFonts w:ascii="宋体" w:hAnsi="宋体" w:eastAsia="宋体" w:cs="宋体"/>
          <w:kern w:val="0"/>
          <w:sz w:val="24"/>
          <w:szCs w:val="24"/>
        </w:rPr>
        <w:t>条规定之一；</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⑦</w:t>
      </w:r>
      <w:r>
        <w:rPr>
          <w:rFonts w:ascii="宋体" w:hAnsi="宋体" w:eastAsia="宋体" w:cs="宋体"/>
          <w:kern w:val="0"/>
          <w:sz w:val="24"/>
          <w:szCs w:val="24"/>
        </w:rPr>
        <w:t>招标文件规定的其他不予退还情形；</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⑧</w:t>
      </w:r>
      <w:r>
        <w:rPr>
          <w:rFonts w:ascii="宋体" w:hAnsi="宋体" w:eastAsia="宋体" w:cs="宋体"/>
          <w:kern w:val="0"/>
          <w:sz w:val="24"/>
          <w:szCs w:val="24"/>
        </w:rPr>
        <w:t>中标人有下列情形之一的：</w:t>
      </w:r>
    </w:p>
    <w:p>
      <w:pPr>
        <w:widowControl/>
        <w:spacing w:before="75" w:after="75"/>
        <w:ind w:firstLine="480"/>
        <w:jc w:val="left"/>
        <w:rPr>
          <w:rFonts w:ascii="宋体" w:hAnsi="宋体" w:eastAsia="宋体" w:cs="宋体"/>
          <w:kern w:val="0"/>
          <w:sz w:val="24"/>
          <w:szCs w:val="24"/>
        </w:rPr>
      </w:pPr>
      <w:r>
        <w:rPr>
          <w:rFonts w:ascii="Calibri" w:hAnsi="Calibri" w:eastAsia="宋体" w:cs="宋体"/>
          <w:kern w:val="0"/>
          <w:sz w:val="24"/>
          <w:szCs w:val="24"/>
        </w:rPr>
        <w:t>a</w:t>
      </w:r>
      <w:r>
        <w:rPr>
          <w:rFonts w:ascii="宋体" w:hAnsi="宋体" w:eastAsia="宋体" w:cs="宋体"/>
          <w:kern w:val="0"/>
          <w:sz w:val="24"/>
          <w:szCs w:val="24"/>
        </w:rPr>
        <w:t>.除不可抗力外，因中标人自身原因未在中标通知书要求的期限内与采购人签订政府采购合同；</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b.未按照招标文件、投标文件的约定签订政府采购合同或提交履约保证金。</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若上述投标保证金不予退还情形给采购人（采购代理机构）造成损失，则投标人还要承担相应的赔偿责任。</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10.10投标文件的提交</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（1）一个投标人只能提交一个投标文件，并按照招标文件第一章规定将其送达。</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（2）密封及其标记的具体形式：详见招标文件第二章。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10.11投标文件的补充、修改或撤回</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（1）投标截止时间前，投标人可对所提交的投标文件进行补充、修改或撤回，并书面通知</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（2）补充、修改的内容应按照本章第</w:t>
      </w:r>
      <w:r>
        <w:rPr>
          <w:rFonts w:ascii="Calibri" w:hAnsi="Calibri" w:eastAsia="宋体" w:cs="宋体"/>
          <w:kern w:val="0"/>
          <w:sz w:val="24"/>
          <w:szCs w:val="24"/>
        </w:rPr>
        <w:t>10.5</w:t>
      </w:r>
      <w:r>
        <w:rPr>
          <w:rFonts w:ascii="宋体" w:hAnsi="宋体" w:eastAsia="宋体" w:cs="宋体"/>
          <w:kern w:val="0"/>
          <w:sz w:val="24"/>
          <w:szCs w:val="24"/>
        </w:rPr>
        <w:t>条第（</w:t>
      </w:r>
      <w:r>
        <w:rPr>
          <w:rFonts w:ascii="Calibri" w:hAnsi="Calibri" w:eastAsia="宋体" w:cs="宋体"/>
          <w:kern w:val="0"/>
          <w:sz w:val="24"/>
          <w:szCs w:val="24"/>
        </w:rPr>
        <w:t>4</w:t>
      </w:r>
      <w:r>
        <w:rPr>
          <w:rFonts w:ascii="宋体" w:hAnsi="宋体" w:eastAsia="宋体" w:cs="宋体"/>
          <w:kern w:val="0"/>
          <w:sz w:val="24"/>
          <w:szCs w:val="24"/>
        </w:rPr>
        <w:t>）款规定进行签署、盖章，并按照本章第</w:t>
      </w:r>
      <w:r>
        <w:rPr>
          <w:rFonts w:ascii="Calibri" w:hAnsi="Calibri" w:eastAsia="宋体" w:cs="宋体"/>
          <w:kern w:val="0"/>
          <w:sz w:val="24"/>
          <w:szCs w:val="24"/>
        </w:rPr>
        <w:t>10.10</w:t>
      </w:r>
      <w:r>
        <w:rPr>
          <w:rFonts w:ascii="宋体" w:hAnsi="宋体" w:eastAsia="宋体" w:cs="宋体"/>
          <w:kern w:val="0"/>
          <w:sz w:val="24"/>
          <w:szCs w:val="24"/>
        </w:rPr>
        <w:t>条规定提交，</w:t>
      </w:r>
      <w:r>
        <w:rPr>
          <w:rFonts w:ascii="宋体" w:hAnsi="宋体" w:eastAsia="宋体" w:cs="宋体"/>
          <w:b/>
          <w:bCs/>
          <w:kern w:val="0"/>
          <w:sz w:val="24"/>
          <w:szCs w:val="24"/>
        </w:rPr>
        <w:t>否则将被拒收。</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按照上述规定提交的补充、修改内容作为投标文件组成部分。</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10.12除招标文件另有规定外，有下列情形之一的，</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（1）投标文件未按照招标文件要求签署、盖章；</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（2）不符合招标文件中规定的资格要求；</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（3）投标报价超过招标文件中规定的预算金额或最高限价；</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（4）投标文件含有采购人不能接受的附加条件；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（5）有关法律、法规和规章及招标文件规定的其他无效情形。</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五、开标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11、开标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11.1</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将在招标文件载明的开标时间及地点主持召开开标会，并邀请投标人参加。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11.2开标会的主持人、唱标人、记录人及其他工作人员（若有）均由</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派出，现场监督人员（若有）可由有关方面派出。</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11.3参加开标会的投标人应签到，非投标人不参加开标会。</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11.4开标会应遵守下列规定：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（1）首先由主持人宣布开标会须知，然后由投标人代表对投标文件的密封情况进行检查，经确认无误后，由工作人员对密封的投标文件当众拆封。</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（3）记录人对唱标人宣布的内容作开标记录。</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（6）若投标人未参加开标会（包括但不限于投标人派出的人员不是投标人代表），视同其对开标过程和开标记录予以认可。</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若出现本章第</w:t>
      </w:r>
      <w:r>
        <w:rPr>
          <w:rFonts w:ascii="Calibri" w:hAnsi="Calibri" w:eastAsia="宋体" w:cs="宋体"/>
          <w:b/>
          <w:bCs/>
          <w:kern w:val="0"/>
          <w:sz w:val="24"/>
          <w:szCs w:val="24"/>
        </w:rPr>
        <w:t>11.4</w:t>
      </w:r>
      <w:r>
        <w:rPr>
          <w:rFonts w:ascii="宋体" w:hAnsi="宋体" w:eastAsia="宋体" w:cs="宋体"/>
          <w:b/>
          <w:bCs/>
          <w:kern w:val="0"/>
          <w:sz w:val="24"/>
          <w:szCs w:val="24"/>
        </w:rPr>
        <w:t>条第（</w:t>
      </w:r>
      <w:r>
        <w:rPr>
          <w:rFonts w:ascii="Calibri" w:hAnsi="Calibri" w:eastAsia="宋体" w:cs="宋体"/>
          <w:b/>
          <w:bCs/>
          <w:kern w:val="0"/>
          <w:sz w:val="24"/>
          <w:szCs w:val="24"/>
        </w:rPr>
        <w:t>4</w:t>
      </w:r>
      <w:r>
        <w:rPr>
          <w:rFonts w:ascii="宋体" w:hAnsi="宋体" w:eastAsia="宋体" w:cs="宋体"/>
          <w:b/>
          <w:bCs/>
          <w:kern w:val="0"/>
          <w:sz w:val="24"/>
          <w:szCs w:val="24"/>
        </w:rPr>
        <w:t>）、（</w:t>
      </w:r>
      <w:r>
        <w:rPr>
          <w:rFonts w:ascii="Calibri" w:hAnsi="Calibri" w:eastAsia="宋体" w:cs="宋体"/>
          <w:b/>
          <w:bCs/>
          <w:kern w:val="0"/>
          <w:sz w:val="24"/>
          <w:szCs w:val="24"/>
        </w:rPr>
        <w:t>5</w:t>
      </w:r>
      <w:r>
        <w:rPr>
          <w:rFonts w:ascii="宋体" w:hAnsi="宋体" w:eastAsia="宋体" w:cs="宋体"/>
          <w:b/>
          <w:bCs/>
          <w:kern w:val="0"/>
          <w:sz w:val="24"/>
          <w:szCs w:val="24"/>
        </w:rPr>
        <w:t>）、（</w:t>
      </w:r>
      <w:r>
        <w:rPr>
          <w:rFonts w:ascii="Calibri" w:hAnsi="Calibri" w:eastAsia="宋体" w:cs="宋体"/>
          <w:b/>
          <w:bCs/>
          <w:kern w:val="0"/>
          <w:sz w:val="24"/>
          <w:szCs w:val="24"/>
        </w:rPr>
        <w:t>6</w:t>
      </w:r>
      <w:r>
        <w:rPr>
          <w:rFonts w:ascii="宋体" w:hAnsi="宋体" w:eastAsia="宋体" w:cs="宋体"/>
          <w:b/>
          <w:bCs/>
          <w:kern w:val="0"/>
          <w:sz w:val="24"/>
          <w:szCs w:val="24"/>
        </w:rPr>
        <w:t>）款规定情形之一</w:t>
      </w:r>
      <w:r>
        <w:rPr>
          <w:rFonts w:ascii="宋体" w:hAnsi="宋体" w:eastAsia="宋体" w:cs="宋体"/>
          <w:kern w:val="0"/>
          <w:sz w:val="24"/>
          <w:szCs w:val="24"/>
        </w:rPr>
        <w:t>，</w:t>
      </w:r>
      <w:r>
        <w:rPr>
          <w:rFonts w:ascii="宋体" w:hAnsi="宋体" w:eastAsia="宋体" w:cs="宋体"/>
          <w:b/>
          <w:bCs/>
          <w:kern w:val="0"/>
          <w:sz w:val="24"/>
          <w:szCs w:val="24"/>
        </w:rPr>
        <w:t>则投标人不得在开标会后就开标过程和开标记录涉及或可能涉及的有关事由（包括但不限于：“投标报价”、“投标文件的格式”、“投标文件的提交”、“投标文件的补充、修改或撤回”等）向</w:t>
      </w:r>
      <w:r>
        <w:rPr>
          <w:rFonts w:ascii="宋体" w:hAnsi="宋体" w:eastAsia="宋体" w:cs="宋体"/>
          <w:kern w:val="0"/>
          <w:sz w:val="24"/>
          <w:szCs w:val="24"/>
          <w:u w:val="single"/>
        </w:rPr>
        <w:t>厦门市务实采购有限公司</w:t>
      </w:r>
      <w:r>
        <w:rPr>
          <w:rFonts w:ascii="宋体" w:hAnsi="宋体" w:eastAsia="宋体" w:cs="宋体"/>
          <w:b/>
          <w:bCs/>
          <w:kern w:val="0"/>
          <w:sz w:val="24"/>
          <w:szCs w:val="24"/>
        </w:rPr>
        <w:t>提出任何疑义或要求（包括质疑）。</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11.5投标截止时间后，参加投标的投标人不足三家的，不进行开标。同时，本次采购活动结束，</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将依法组织后续采购活动（包括但不限于：重新招标、采用其他方式采购等）。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六、中标与政府采购合同</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12、中标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12.1本项目推荐的中标候选人家数：详见招标文件第二章。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12.2本项目中标人的确定：详见招标文件第二章。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12.3中标公告</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（1）中标人确定之日起</w:t>
      </w:r>
      <w:r>
        <w:rPr>
          <w:rFonts w:ascii="Calibri" w:hAnsi="Calibri" w:eastAsia="宋体" w:cs="宋体"/>
          <w:kern w:val="0"/>
          <w:sz w:val="24"/>
          <w:szCs w:val="24"/>
        </w:rPr>
        <w:t>2</w:t>
      </w:r>
      <w:r>
        <w:rPr>
          <w:rFonts w:ascii="宋体" w:hAnsi="宋体" w:eastAsia="宋体" w:cs="宋体"/>
          <w:kern w:val="0"/>
          <w:sz w:val="24"/>
          <w:szCs w:val="24"/>
        </w:rPr>
        <w:t>个工作日内，</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将在招标文件载明的指定媒体以中标公告的形式发布中标结果。</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（2）中标公告的公告期限为</w:t>
      </w:r>
      <w:r>
        <w:rPr>
          <w:rFonts w:ascii="Calibri" w:hAnsi="Calibri" w:eastAsia="宋体" w:cs="宋体"/>
          <w:kern w:val="0"/>
          <w:sz w:val="24"/>
          <w:szCs w:val="24"/>
        </w:rPr>
        <w:t>1</w:t>
      </w:r>
      <w:r>
        <w:rPr>
          <w:rFonts w:ascii="宋体" w:hAnsi="宋体" w:eastAsia="宋体" w:cs="宋体"/>
          <w:kern w:val="0"/>
          <w:sz w:val="24"/>
          <w:szCs w:val="24"/>
        </w:rPr>
        <w:t>个工作日。</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（3）中标公告同时作为</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通知除中标人外的其他投标人没有中标的书面形式。</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12.4中标通知书</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（1）中标公告发布的同时，</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将向中标人发出中标通知书。</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（2）中标通知书发出后，采购人不得违法改变中标结果，中标人无正当理由不得放弃中标。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13、政府采购合同</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13.2签订时限：自中标通知书发出之日起</w:t>
      </w:r>
      <w:r>
        <w:rPr>
          <w:rFonts w:ascii="Calibri" w:hAnsi="Calibri" w:eastAsia="宋体" w:cs="宋体"/>
          <w:kern w:val="0"/>
          <w:sz w:val="24"/>
          <w:szCs w:val="24"/>
        </w:rPr>
        <w:t>30</w:t>
      </w:r>
      <w:r>
        <w:rPr>
          <w:rFonts w:ascii="宋体" w:hAnsi="宋体" w:eastAsia="宋体" w:cs="宋体"/>
          <w:kern w:val="0"/>
          <w:sz w:val="24"/>
          <w:szCs w:val="24"/>
        </w:rPr>
        <w:t>个日历日内。</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13.3政府采购合同的履行、违约责任和解决争议的方法等适用合同法。</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13.4采购人与中标人应根据政府采购合同的约定依法履行合同义务。</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13.5政府采购合同履行过程中，采购人若需追加与合同标的相同的货物或服务，则追加采购金额不得超过原合同采购金额的</w:t>
      </w:r>
      <w:r>
        <w:rPr>
          <w:rFonts w:ascii="Calibri" w:hAnsi="Calibri" w:eastAsia="宋体" w:cs="宋体"/>
          <w:kern w:val="0"/>
          <w:sz w:val="24"/>
          <w:szCs w:val="24"/>
        </w:rPr>
        <w:t>10%</w:t>
      </w:r>
      <w:r>
        <w:rPr>
          <w:rFonts w:ascii="宋体" w:hAnsi="宋体" w:eastAsia="宋体" w:cs="宋体"/>
          <w:kern w:val="0"/>
          <w:sz w:val="24"/>
          <w:szCs w:val="24"/>
        </w:rPr>
        <w:t>。</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13.6中标人在政府采购合同履行过程中应遵守有关法律、法规和规章的强制性规定（即使前述强制性规定有可能在招标文件中未予列明）。</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七、询问、质疑与投诉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14、询问</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14.1潜在投标人或投标人对本次采购活动的有关事项若有疑问，可向厦门市务实采购有限公司提出询问，厦门市务实采购有限公司将按照政府采购法及实施条例的有关规定进行答复。</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15、质疑</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15.1针对同一采购程序环节的质疑应在政府采购法及实施条例规定的时限内一次性提出，并同时符合下列条件：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（1）对招标文件提出质疑的，质疑人应为潜在投标人，且两者的身份、名称等均应保持一致。对采购过程、结果提出质疑的，质疑人应为投标人，且两者的身份、名称等均应保持一致。</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（2）质疑人应按照招标文件第二章规定方式提交质疑函。</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（3）质疑函应包括下列主要内容：</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质疑人的基本信息，至少包括：全称、地址、邮政编码等；</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所质疑项目的基本信息，至少包括：招标编号、项目名称等；</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所质疑的具体事项（以下简称：“质疑事项”）；</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针对质疑事项提出的明确请求，前述明确请求指质疑人提出质疑的目的以及希望厦门市务实采购有限公司对其质疑作出的处理结果，如：暂停招标投标活动、修改招标文件、停止或纠正违法违规行为、中标结果无效、废标、重新招标等；</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针对质疑事项导致质疑人自身权益受到损害的必要证明材料，至少包括：</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a.质疑人代表的身份证明材料：</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a2若本项目接受自然人投标且质疑人为自然人的，提供本人的身份证复印件。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b.其他证明材料（即事实依据和必要的法律依据）包括但不限于下列材料：</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b1所质疑的具体事项是与自已有利害关系的证明材料；</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b2质疑函所述事实存在的证明材料，如：采购文件、采购过程或中标结果违法违规或不符合采购文件要求等证明材料；</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b3依法应终止采购程序的证明材料；</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b4应重新采购的证明材料；</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b5采购文件、采购过程或中标、成交结果损害自已合法权益的证明材料等；</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Fonts w:ascii="宋体" w:hAnsi="宋体" w:eastAsia="宋体" w:cs="宋体"/>
          <w:b/>
          <w:bCs/>
          <w:kern w:val="0"/>
          <w:sz w:val="24"/>
          <w:szCs w:val="24"/>
        </w:rPr>
        <w:t>视为无效</w:t>
      </w:r>
      <w:r>
        <w:rPr>
          <w:rFonts w:ascii="宋体" w:hAnsi="宋体" w:eastAsia="宋体" w:cs="宋体"/>
          <w:kern w:val="0"/>
          <w:sz w:val="24"/>
          <w:szCs w:val="24"/>
        </w:rPr>
        <w:t>）。</w:t>
      </w:r>
      <w:r>
        <w:rPr>
          <w:rFonts w:ascii="宋体" w:hAnsi="宋体" w:eastAsia="宋体" w:cs="宋体"/>
          <w:kern w:val="0"/>
          <w:sz w:val="24"/>
          <w:szCs w:val="24"/>
        </w:rPr>
        <w:br w:type="textWrapping"/>
      </w:r>
      <w:r>
        <w:rPr>
          <w:rFonts w:ascii="宋体" w:hAnsi="宋体" w:eastAsia="宋体" w:cs="宋体"/>
          <w:kern w:val="0"/>
          <w:sz w:val="24"/>
          <w:szCs w:val="24"/>
        </w:rPr>
        <w:t>   </w:t>
      </w:r>
      <w:r>
        <w:rPr>
          <w:rFonts w:hint="eastAsia" w:ascii="宋体" w:hAnsi="宋体" w:eastAsia="宋体" w:cs="宋体"/>
          <w:kern w:val="0"/>
          <w:sz w:val="24"/>
          <w:szCs w:val="24"/>
        </w:rPr>
        <w:t>⑥</w:t>
      </w:r>
      <w:r>
        <w:rPr>
          <w:rFonts w:ascii="宋体" w:hAnsi="宋体" w:eastAsia="宋体" w:cs="宋体"/>
          <w:kern w:val="0"/>
          <w:sz w:val="24"/>
          <w:szCs w:val="24"/>
        </w:rPr>
        <w:t>质疑人代表及其联系方法的信息，至少包括：姓名、手机、电子信箱、邮寄地址等。</w:t>
      </w:r>
      <w:r>
        <w:rPr>
          <w:rFonts w:ascii="宋体" w:hAnsi="宋体" w:eastAsia="宋体" w:cs="宋体"/>
          <w:kern w:val="0"/>
          <w:sz w:val="24"/>
          <w:szCs w:val="24"/>
        </w:rPr>
        <w:br w:type="textWrapping"/>
      </w:r>
      <w:r>
        <w:rPr>
          <w:rFonts w:ascii="宋体" w:hAnsi="宋体" w:eastAsia="宋体" w:cs="宋体"/>
          <w:kern w:val="0"/>
          <w:sz w:val="24"/>
          <w:szCs w:val="24"/>
        </w:rPr>
        <w:t>   </w:t>
      </w:r>
      <w:r>
        <w:rPr>
          <w:rFonts w:hint="eastAsia" w:ascii="宋体" w:hAnsi="宋体" w:eastAsia="宋体" w:cs="宋体"/>
          <w:kern w:val="0"/>
          <w:sz w:val="24"/>
          <w:szCs w:val="24"/>
        </w:rPr>
        <w:t>⑦</w:t>
      </w:r>
      <w:r>
        <w:rPr>
          <w:rFonts w:ascii="宋体" w:hAnsi="宋体" w:eastAsia="宋体" w:cs="宋体"/>
          <w:kern w:val="0"/>
          <w:sz w:val="24"/>
          <w:szCs w:val="24"/>
        </w:rPr>
        <w:t>提出质疑的日期。</w:t>
      </w:r>
    </w:p>
    <w:p>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质疑人为法人或其他组织的，质疑函应由单位负责人或委托代理人签字或盖章，并加盖投标人的单位公章。质疑人为自然人的，质疑函应由本人签字。</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15.2对不符合本章第</w:t>
      </w:r>
      <w:r>
        <w:rPr>
          <w:rFonts w:ascii="Calibri" w:hAnsi="Calibri" w:eastAsia="宋体" w:cs="宋体"/>
          <w:kern w:val="0"/>
          <w:sz w:val="24"/>
          <w:szCs w:val="24"/>
        </w:rPr>
        <w:t>15.1</w:t>
      </w:r>
      <w:r>
        <w:rPr>
          <w:rFonts w:ascii="宋体" w:hAnsi="宋体" w:eastAsia="宋体" w:cs="宋体"/>
          <w:kern w:val="0"/>
          <w:sz w:val="24"/>
          <w:szCs w:val="24"/>
        </w:rPr>
        <w:t>条规定的质疑，将按照下列规定进行处理：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（1）不符合其中第（</w:t>
      </w:r>
      <w:r>
        <w:rPr>
          <w:rFonts w:ascii="Calibri" w:hAnsi="Calibri" w:eastAsia="宋体" w:cs="宋体"/>
          <w:kern w:val="0"/>
          <w:sz w:val="24"/>
          <w:szCs w:val="24"/>
        </w:rPr>
        <w:t>1</w:t>
      </w:r>
      <w:r>
        <w:rPr>
          <w:rFonts w:ascii="宋体" w:hAnsi="宋体" w:eastAsia="宋体" w:cs="宋体"/>
          <w:kern w:val="0"/>
          <w:sz w:val="24"/>
          <w:szCs w:val="24"/>
        </w:rPr>
        <w:t>）、（</w:t>
      </w:r>
      <w:r>
        <w:rPr>
          <w:rFonts w:ascii="Calibri" w:hAnsi="Calibri" w:eastAsia="宋体" w:cs="宋体"/>
          <w:kern w:val="0"/>
          <w:sz w:val="24"/>
          <w:szCs w:val="24"/>
        </w:rPr>
        <w:t>2</w:t>
      </w:r>
      <w:r>
        <w:rPr>
          <w:rFonts w:ascii="宋体" w:hAnsi="宋体" w:eastAsia="宋体" w:cs="宋体"/>
          <w:kern w:val="0"/>
          <w:sz w:val="24"/>
          <w:szCs w:val="24"/>
        </w:rPr>
        <w:t>）条规定的，书面告知质疑人不予受理及其理由。</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（2）不符合其中第（</w:t>
      </w:r>
      <w:r>
        <w:rPr>
          <w:rFonts w:ascii="Calibri" w:hAnsi="Calibri" w:eastAsia="宋体" w:cs="宋体"/>
          <w:kern w:val="0"/>
          <w:sz w:val="24"/>
          <w:szCs w:val="24"/>
        </w:rPr>
        <w:t>3</w:t>
      </w:r>
      <w:r>
        <w:rPr>
          <w:rFonts w:ascii="宋体" w:hAnsi="宋体" w:eastAsia="宋体" w:cs="宋体"/>
          <w:kern w:val="0"/>
          <w:sz w:val="24"/>
          <w:szCs w:val="24"/>
        </w:rPr>
        <w:t>）条规定的，书面告知质疑人修改、补充后在规定时限内重新提交质疑函。</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15.3对符合本章第</w:t>
      </w:r>
      <w:r>
        <w:rPr>
          <w:rFonts w:ascii="Calibri" w:hAnsi="Calibri" w:eastAsia="宋体" w:cs="宋体"/>
          <w:kern w:val="0"/>
          <w:sz w:val="24"/>
          <w:szCs w:val="24"/>
        </w:rPr>
        <w:t>15.1</w:t>
      </w:r>
      <w:r>
        <w:rPr>
          <w:rFonts w:ascii="宋体" w:hAnsi="宋体" w:eastAsia="宋体" w:cs="宋体"/>
          <w:kern w:val="0"/>
          <w:sz w:val="24"/>
          <w:szCs w:val="24"/>
        </w:rPr>
        <w:t>条规定的质疑，将按照政府采购法及实施条例、政府采购质疑和投诉办法的有关规定进行答复。</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15.4招标文件的质疑：详见招标文件第二章。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16、投诉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16.1若对质疑答复不满意或质疑答复未在答复期限内作出，质疑人可在答复期限届满之日起</w:t>
      </w:r>
      <w:r>
        <w:rPr>
          <w:rFonts w:ascii="Calibri" w:hAnsi="Calibri" w:eastAsia="宋体" w:cs="宋体"/>
          <w:kern w:val="0"/>
          <w:sz w:val="24"/>
          <w:szCs w:val="24"/>
        </w:rPr>
        <w:t>15</w:t>
      </w:r>
      <w:r>
        <w:rPr>
          <w:rFonts w:ascii="宋体" w:hAnsi="宋体" w:eastAsia="宋体" w:cs="宋体"/>
          <w:kern w:val="0"/>
          <w:sz w:val="24"/>
          <w:szCs w:val="24"/>
        </w:rPr>
        <w:t>个工作日内按照政府采购质疑和投诉办法的有关规定向招标文件第二章载明的本项目监督管理部门提起投诉。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16.2投诉应有明确的请求和必要的证明材料，投诉的事项不得超出已质疑事项的范围。</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八、政府采购政策</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17、政府采购政策由财政部根据国家的经济和社会发展政策并会同国家有关部委制定，包括但不限于下列具体政策要求：</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17.1进口产品指通过中国海关报关验放进入中国境内且产自关境外的产品，其中：</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（2）凡在海关特殊监管区域内企业生产或加工（包括从境外进口料件）销往境内其他地区的产品，不作为政府采购项下进口产品。</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（3）对从境外进入海关特殊监管区域，再经办理报关手续后从海关特殊监管区进入境内其他地区的产品，认定为进口产品。</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（4）招标文件列明不允许或未列明允许进口产品参加投标的，均视为拒绝进口产品参加投标。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17.2节能产品指列入财政部、国家发展和改革委员会《节能产品政府采购清单》（以下简称：“节能清单”）的产品。环境标志产品指列入财政部、生态环境部《环境标志产品政府采购清单》（以下简称：“环保清单”）的产品。其中：</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节能清单所列产品包括政府强制采购和优先采购的节能产品。未列入节能清单的产品，不属于政府强制采购、优先采购的节能产品（以下分别简称：“强制类节能产品”、“优先类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（3）对于同时列入节能清单和环保清单的产品，优先于只列入其中一个清单的产品。</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（4）在财政部会同上述国家部委调整公布最新一期节能或环保清单通知发布之前已经开展但尚未进入评审环节的采购活动，按照招标文件约定的期数执行。在发布之后开展的采购活动，按照最新一期执行。</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17.4符合财政部、工信部文件（财库</w:t>
      </w:r>
      <w:r>
        <w:rPr>
          <w:rFonts w:ascii="Calibri" w:hAnsi="Calibri" w:eastAsia="宋体" w:cs="宋体"/>
          <w:kern w:val="0"/>
          <w:sz w:val="24"/>
          <w:szCs w:val="24"/>
        </w:rPr>
        <w:t>[2011]181</w:t>
      </w:r>
      <w:r>
        <w:rPr>
          <w:rFonts w:ascii="宋体" w:hAnsi="宋体" w:eastAsia="宋体" w:cs="宋体"/>
          <w:kern w:val="0"/>
          <w:sz w:val="24"/>
          <w:szCs w:val="24"/>
        </w:rPr>
        <w:t>号）规定的</w:t>
      </w:r>
      <w:r>
        <w:rPr>
          <w:rFonts w:ascii="宋体" w:hAnsi="宋体" w:eastAsia="宋体" w:cs="宋体"/>
          <w:b/>
          <w:bCs/>
          <w:kern w:val="0"/>
          <w:sz w:val="24"/>
          <w:szCs w:val="24"/>
        </w:rPr>
        <w:t>小型、微型企业</w:t>
      </w:r>
      <w:r>
        <w:rPr>
          <w:rFonts w:ascii="宋体" w:hAnsi="宋体" w:eastAsia="宋体" w:cs="宋体"/>
          <w:kern w:val="0"/>
          <w:sz w:val="24"/>
          <w:szCs w:val="24"/>
        </w:rPr>
        <w:t>可享受扶持政策（如：预留份额、评审中价格扣除等）。符合财政部、司法部文件（财库[2014]68号）规定的监狱企业（以下简称：</w:t>
      </w:r>
      <w:r>
        <w:rPr>
          <w:rFonts w:ascii="宋体" w:hAnsi="宋体" w:eastAsia="宋体" w:cs="宋体"/>
          <w:b/>
          <w:bCs/>
          <w:kern w:val="0"/>
          <w:sz w:val="24"/>
          <w:szCs w:val="24"/>
        </w:rPr>
        <w:t>“监狱企业”</w:t>
      </w:r>
      <w:r>
        <w:rPr>
          <w:rFonts w:ascii="宋体" w:hAnsi="宋体" w:eastAsia="宋体" w:cs="宋体"/>
          <w:kern w:val="0"/>
          <w:sz w:val="24"/>
          <w:szCs w:val="24"/>
        </w:rPr>
        <w:t>）亦可享受前述扶持政策。符合财政部、民政部、中国残联文件（财库[2017]141号）规定的残疾人福利性单位（以下简称：</w:t>
      </w:r>
      <w:r>
        <w:rPr>
          <w:rFonts w:ascii="宋体" w:hAnsi="宋体" w:eastAsia="宋体" w:cs="宋体"/>
          <w:b/>
          <w:bCs/>
          <w:kern w:val="0"/>
          <w:sz w:val="24"/>
          <w:szCs w:val="24"/>
        </w:rPr>
        <w:t>“残疾人福利性单位”</w:t>
      </w:r>
      <w:r>
        <w:rPr>
          <w:rFonts w:ascii="宋体" w:hAnsi="宋体" w:eastAsia="宋体" w:cs="宋体"/>
          <w:kern w:val="0"/>
          <w:sz w:val="24"/>
          <w:szCs w:val="24"/>
        </w:rPr>
        <w:t>）亦可享受前述扶持政策。其中：</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（1）中小企业指同时符合下列条件的中型、小型、微型企业：</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符合《工业和信息化部、国家统计局、国家发展和改革委员会、财政部关于印发中小企业划型标准规定的通知》（工信部联企业</w:t>
      </w:r>
      <w:r>
        <w:rPr>
          <w:rFonts w:ascii="Calibri" w:hAnsi="Calibri" w:eastAsia="宋体" w:cs="宋体"/>
          <w:kern w:val="0"/>
          <w:sz w:val="24"/>
          <w:szCs w:val="24"/>
        </w:rPr>
        <w:t>[2011]300</w:t>
      </w:r>
      <w:r>
        <w:rPr>
          <w:rFonts w:ascii="宋体" w:hAnsi="宋体" w:eastAsia="宋体" w:cs="宋体"/>
          <w:kern w:val="0"/>
          <w:sz w:val="24"/>
          <w:szCs w:val="24"/>
        </w:rPr>
        <w:t>号）规定的划分标准；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提供本企业制造的货物、承担的工程或服务，或提供其他中小企业制造的货物。本项所称货物不包括使用大型企业注册商标的货物。小型、微型企业提供中型企业制造的货物，视同中型企业。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监狱企业参加采购活动时，应提供由省级以上监狱管理局、戒毒管理局（含新疆生产建设兵团）出具的属于监狱企业的证明文件。</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监狱企业视同小型、微型企业。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（3）残疾人福利性单位指同时符合下列条件的单位：</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安置的残疾人占本单位在职职工人数的比例不低于</w:t>
      </w:r>
      <w:r>
        <w:rPr>
          <w:rFonts w:ascii="Calibri" w:hAnsi="Calibri" w:eastAsia="宋体" w:cs="宋体"/>
          <w:kern w:val="0"/>
          <w:sz w:val="24"/>
          <w:szCs w:val="24"/>
        </w:rPr>
        <w:t>25%</w:t>
      </w:r>
      <w:r>
        <w:rPr>
          <w:rFonts w:ascii="宋体" w:hAnsi="宋体" w:eastAsia="宋体" w:cs="宋体"/>
          <w:kern w:val="0"/>
          <w:sz w:val="24"/>
          <w:szCs w:val="24"/>
        </w:rPr>
        <w:t>（含</w:t>
      </w:r>
      <w:r>
        <w:rPr>
          <w:rFonts w:ascii="Calibri" w:hAnsi="Calibri" w:eastAsia="宋体" w:cs="宋体"/>
          <w:kern w:val="0"/>
          <w:sz w:val="24"/>
          <w:szCs w:val="24"/>
        </w:rPr>
        <w:t>25%</w:t>
      </w:r>
      <w:r>
        <w:rPr>
          <w:rFonts w:ascii="宋体" w:hAnsi="宋体" w:eastAsia="宋体" w:cs="宋体"/>
          <w:kern w:val="0"/>
          <w:sz w:val="24"/>
          <w:szCs w:val="24"/>
        </w:rPr>
        <w:t>），并且安置的残疾人人数不少于</w:t>
      </w:r>
      <w:r>
        <w:rPr>
          <w:rFonts w:ascii="Calibri" w:hAnsi="Calibri" w:eastAsia="宋体" w:cs="宋体"/>
          <w:kern w:val="0"/>
          <w:sz w:val="24"/>
          <w:szCs w:val="24"/>
        </w:rPr>
        <w:t>10</w:t>
      </w:r>
      <w:r>
        <w:rPr>
          <w:rFonts w:ascii="宋体" w:hAnsi="宋体" w:eastAsia="宋体" w:cs="宋体"/>
          <w:kern w:val="0"/>
          <w:sz w:val="24"/>
          <w:szCs w:val="24"/>
        </w:rPr>
        <w:t>人（含</w:t>
      </w:r>
      <w:r>
        <w:rPr>
          <w:rFonts w:ascii="Calibri" w:hAnsi="Calibri" w:eastAsia="宋体" w:cs="宋体"/>
          <w:kern w:val="0"/>
          <w:sz w:val="24"/>
          <w:szCs w:val="24"/>
        </w:rPr>
        <w:t>10</w:t>
      </w:r>
      <w:r>
        <w:rPr>
          <w:rFonts w:ascii="宋体" w:hAnsi="宋体" w:eastAsia="宋体" w:cs="宋体"/>
          <w:kern w:val="0"/>
          <w:sz w:val="24"/>
          <w:szCs w:val="24"/>
        </w:rPr>
        <w:t>人）；</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依法与安置的每位残疾人签订了一年以上（含一年）的劳动合同或服务协议；</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为安置的每位残疾人按月足额缴纳了基本养老保险、基本医疗保险、失业保险、工伤保险和生育保险等社会保险费；</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通过银行等金融机构向安置的每位残疾人，按月支付了不低于单位所在区县适用的经省级人民政府批准的月最低工资标准的工资；</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提供本单位制造的货物、承担的工程或服务，或提供其他残疾人福利性单位制造的货物（不包括使用非残疾人福利性单位注册商标的货物）。</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前款所称残疾人指法定劳动年龄内，持有《中华人民共和国残疾人证》或《中华人民共和国残疾军人证（1至</w:t>
      </w:r>
      <w:r>
        <w:rPr>
          <w:rFonts w:ascii="Calibri" w:hAnsi="Calibri" w:eastAsia="宋体" w:cs="宋体"/>
          <w:kern w:val="0"/>
          <w:sz w:val="24"/>
          <w:szCs w:val="24"/>
        </w:rPr>
        <w:t>8</w:t>
      </w:r>
      <w:r>
        <w:rPr>
          <w:rFonts w:ascii="宋体" w:hAnsi="宋体" w:eastAsia="宋体" w:cs="宋体"/>
          <w:kern w:val="0"/>
          <w:sz w:val="24"/>
          <w:szCs w:val="24"/>
        </w:rPr>
        <w:t>级）》的自然人，包括具有劳动条件和劳动意愿的精神残疾人。在职职工人数是指与残疾人福利性单位建立劳动关系并依法签订劳动合同或服务协议的雇员人数。</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17.5信用记录指由财政部确定的有关网站提供的相关主体信用信息。信用记录的查询及使用应符合财政部文件（财库</w:t>
      </w:r>
      <w:r>
        <w:rPr>
          <w:rFonts w:ascii="Calibri" w:hAnsi="Calibri" w:eastAsia="宋体" w:cs="宋体"/>
          <w:kern w:val="0"/>
          <w:sz w:val="24"/>
          <w:szCs w:val="24"/>
        </w:rPr>
        <w:t>[2016]125</w:t>
      </w:r>
      <w:r>
        <w:rPr>
          <w:rFonts w:ascii="宋体" w:hAnsi="宋体" w:eastAsia="宋体" w:cs="宋体"/>
          <w:kern w:val="0"/>
          <w:sz w:val="24"/>
          <w:szCs w:val="24"/>
        </w:rPr>
        <w:t>号）规定。</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17.6为落实政府采购政策需满足的要求：详见招标文件第一章。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九、本项目的有关信息</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18、本项目的有关信息，包括但不限于：招标公告、更正公告（若有）、招标文件、招标文件的澄清或修改（若有）、中标公告、终止公告（若有）、废标公告（若有）等都将在招标文件载明的指定媒体发布。</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18.1指定媒体：详见招标文件第二章。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18.2本项目的潜在投标人或投标人应随时关注指定媒体，否则产生不利后果由其自行承担。</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十、其他事项</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19、其他事项：详见招标文件第二章。</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240"/>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before="75" w:after="75"/>
        <w:jc w:val="center"/>
        <w:outlineLvl w:val="0"/>
        <w:rPr>
          <w:rFonts w:ascii="宋体" w:hAnsi="宋体" w:eastAsia="宋体" w:cs="宋体"/>
          <w:kern w:val="0"/>
          <w:sz w:val="24"/>
          <w:szCs w:val="24"/>
        </w:rPr>
      </w:pPr>
      <w:bookmarkStart w:id="3" w:name="_Toc5655"/>
      <w:r>
        <w:rPr>
          <w:rFonts w:ascii="宋体" w:hAnsi="宋体" w:eastAsia="宋体" w:cs="宋体"/>
          <w:b/>
          <w:bCs/>
          <w:kern w:val="0"/>
          <w:sz w:val="32"/>
        </w:rPr>
        <w:t>第四章   资格审查与评标</w:t>
      </w:r>
      <w:bookmarkEnd w:id="3"/>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一、资格审查</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1、开标结束后，由</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负责资格审查小组的组建及资格审查工作的组织。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1.1资格审查小组由</w:t>
      </w:r>
      <w:r>
        <w:rPr>
          <w:rFonts w:ascii="Calibri" w:hAnsi="Calibri" w:eastAsia="宋体" w:cs="宋体"/>
          <w:kern w:val="0"/>
          <w:sz w:val="24"/>
          <w:szCs w:val="24"/>
        </w:rPr>
        <w:t>3</w:t>
      </w:r>
      <w:r>
        <w:rPr>
          <w:rFonts w:ascii="宋体" w:hAnsi="宋体" w:eastAsia="宋体" w:cs="宋体"/>
          <w:kern w:val="0"/>
          <w:sz w:val="24"/>
          <w:szCs w:val="24"/>
        </w:rPr>
        <w:t>人组成，并负责具体审查事务，其中：由采购人派出的采购人代表至少</w:t>
      </w:r>
      <w:r>
        <w:rPr>
          <w:rFonts w:ascii="宋体" w:hAnsi="宋体" w:eastAsia="宋体" w:cs="宋体"/>
          <w:kern w:val="0"/>
          <w:sz w:val="24"/>
          <w:szCs w:val="24"/>
          <w:u w:val="single"/>
        </w:rPr>
        <w:t>1</w:t>
      </w:r>
      <w:r>
        <w:rPr>
          <w:rFonts w:ascii="宋体" w:hAnsi="宋体" w:eastAsia="宋体" w:cs="宋体"/>
          <w:kern w:val="0"/>
          <w:sz w:val="24"/>
          <w:szCs w:val="24"/>
        </w:rPr>
        <w:t>人，由</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派出的工作人员至少</w:t>
      </w:r>
      <w:r>
        <w:rPr>
          <w:rFonts w:ascii="宋体" w:hAnsi="宋体" w:eastAsia="宋体" w:cs="宋体"/>
          <w:kern w:val="0"/>
          <w:sz w:val="24"/>
          <w:szCs w:val="24"/>
          <w:u w:val="single"/>
        </w:rPr>
        <w:t>1</w:t>
      </w:r>
      <w:r>
        <w:rPr>
          <w:rFonts w:ascii="宋体" w:hAnsi="宋体" w:eastAsia="宋体" w:cs="宋体"/>
          <w:kern w:val="0"/>
          <w:sz w:val="24"/>
          <w:szCs w:val="24"/>
        </w:rPr>
        <w:t>人，其余</w:t>
      </w:r>
      <w:r>
        <w:rPr>
          <w:rFonts w:ascii="宋体" w:hAnsi="宋体" w:eastAsia="宋体" w:cs="宋体"/>
          <w:kern w:val="0"/>
          <w:sz w:val="24"/>
          <w:szCs w:val="24"/>
          <w:u w:val="single"/>
        </w:rPr>
        <w:t>1</w:t>
      </w:r>
      <w:r>
        <w:rPr>
          <w:rFonts w:ascii="宋体" w:hAnsi="宋体" w:eastAsia="宋体" w:cs="宋体"/>
          <w:kern w:val="0"/>
          <w:sz w:val="24"/>
          <w:szCs w:val="24"/>
        </w:rPr>
        <w:t>人可为采购人代表或</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的工作人员。</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1.2资格审查的依据是招标文件和投标文件。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1.3资格审查的范围及内容：投标文件（资格及资信证明部分），具体如下：</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（1）“投标函”；</w:t>
      </w:r>
      <w:r>
        <w:rPr>
          <w:rFonts w:ascii="宋体" w:hAnsi="宋体" w:eastAsia="宋体" w:cs="宋体"/>
          <w:kern w:val="0"/>
          <w:sz w:val="24"/>
          <w:szCs w:val="24"/>
        </w:rPr>
        <w:br w:type="textWrapping"/>
      </w:r>
      <w:r>
        <w:rPr>
          <w:rFonts w:ascii="宋体" w:hAnsi="宋体" w:eastAsia="宋体" w:cs="宋体"/>
          <w:kern w:val="0"/>
          <w:sz w:val="24"/>
          <w:szCs w:val="24"/>
        </w:rPr>
        <w:t>  （2）“投标人的资格及资信证明文件”</w:t>
      </w:r>
      <w:r>
        <w:rPr>
          <w:rFonts w:ascii="宋体" w:hAnsi="宋体" w:eastAsia="宋体" w:cs="宋体"/>
          <w:kern w:val="0"/>
          <w:sz w:val="24"/>
          <w:szCs w:val="24"/>
        </w:rPr>
        <w:br w:type="textWrapping"/>
      </w:r>
      <w:r>
        <w:rPr>
          <w:rFonts w:ascii="宋体" w:hAnsi="宋体" w:eastAsia="宋体" w:cs="宋体"/>
          <w:kern w:val="0"/>
          <w:sz w:val="24"/>
          <w:szCs w:val="24"/>
        </w:rPr>
        <w:t>   </w:t>
      </w:r>
      <w:r>
        <w:rPr>
          <w:rFonts w:hint="eastAsia" w:ascii="宋体" w:hAnsi="宋体" w:eastAsia="宋体" w:cs="宋体"/>
          <w:kern w:val="0"/>
          <w:sz w:val="24"/>
          <w:szCs w:val="24"/>
        </w:rPr>
        <w:t>①</w:t>
      </w:r>
      <w:r>
        <w:rPr>
          <w:rFonts w:ascii="宋体" w:hAnsi="宋体" w:eastAsia="宋体" w:cs="宋体"/>
          <w:kern w:val="0"/>
          <w:sz w:val="24"/>
          <w:szCs w:val="24"/>
        </w:rPr>
        <w:t>一般资格证明文件：</w:t>
      </w:r>
    </w:p>
    <w:tbl>
      <w:tblPr>
        <w:tblStyle w:val="16"/>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c>
          <w:tcPr>
            <w:tcW w:w="2750"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单位负责人授权书（若有）</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营业执照等证明文件</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财务状况报告（财务报告、或资信证明、或投标担保函）</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[2012]124号）的规定。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依法缴纳税收证明材料</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依法缴纳社会保障资金证明材料</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具备履行合同所必需设备和专业技术能力的声明函（若有）</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参加采购活动前三年内在经营活动中没有重大违法记录书面声明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1、“重大违法记录”指投标人因</w:t>
            </w:r>
            <w:r>
              <w:rPr>
                <w:rFonts w:ascii="宋体" w:hAnsi="宋体" w:eastAsia="宋体" w:cs="宋体"/>
                <w:b/>
                <w:bCs/>
                <w:kern w:val="0"/>
                <w:sz w:val="24"/>
                <w:szCs w:val="24"/>
              </w:rPr>
              <w:t>违法经营受到刑事处罚或责令停产停业、吊销许可证或执照、</w:t>
            </w:r>
            <w:r>
              <w:rPr>
                <w:rFonts w:hint="eastAsia" w:ascii="宋体" w:hAnsi="宋体" w:eastAsia="宋体" w:cs="宋体"/>
                <w:b/>
                <w:bCs/>
                <w:kern w:val="0"/>
                <w:sz w:val="24"/>
                <w:szCs w:val="24"/>
              </w:rPr>
              <w:t>处于</w:t>
            </w:r>
            <w:r>
              <w:rPr>
                <w:rFonts w:ascii="宋体" w:hAnsi="宋体" w:eastAsia="宋体" w:cs="宋体"/>
                <w:b/>
                <w:bCs/>
                <w:kern w:val="0"/>
                <w:sz w:val="24"/>
                <w:szCs w:val="24"/>
              </w:rPr>
              <w:t>较大数额罚款等行政处罚</w:t>
            </w:r>
            <w:r>
              <w:rPr>
                <w:rFonts w:ascii="宋体" w:hAnsi="宋体" w:eastAsia="宋体" w:cs="宋体"/>
                <w:kern w:val="0"/>
                <w:sz w:val="24"/>
                <w:szCs w:val="24"/>
              </w:rPr>
              <w:t>。2、无法提供有效期内检察机关行贿犯罪档案查询结果告知函的，也应对近三年无行贿犯罪记录进行声明。3、纸质投标文件正本中的本声明应为原件。※投标人应按照招标文件第七章规定提供。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信用记录查询结果</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中小企业声明函（专门面向中小企业或小型、微型企业适用，若有）</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联合体协议（若有）</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检察机关行贿犯罪档案查询结果告知函（若有）</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widowControl/>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   </w:t>
      </w:r>
      <w:r>
        <w:rPr>
          <w:rFonts w:hint="eastAsia" w:ascii="宋体" w:hAnsi="宋体" w:eastAsia="宋体" w:cs="宋体"/>
          <w:kern w:val="0"/>
          <w:sz w:val="24"/>
          <w:szCs w:val="24"/>
        </w:rPr>
        <w:t>②</w:t>
      </w:r>
      <w:r>
        <w:rPr>
          <w:rFonts w:ascii="Times New Roman" w:hAnsi="Times New Roman" w:eastAsia="宋体" w:cs="Times New Roman"/>
          <w:kern w:val="0"/>
          <w:sz w:val="24"/>
          <w:szCs w:val="24"/>
        </w:rPr>
        <w:t>.</w:t>
      </w:r>
      <w:r>
        <w:rPr>
          <w:rFonts w:ascii="宋体" w:hAnsi="宋体" w:eastAsia="宋体" w:cs="宋体"/>
          <w:kern w:val="0"/>
          <w:sz w:val="24"/>
          <w:szCs w:val="24"/>
        </w:rPr>
        <w:t>其他资格证明文件：</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包：1</w:t>
      </w:r>
    </w:p>
    <w:tbl>
      <w:tblPr>
        <w:tblStyle w:val="16"/>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750"/>
        <w:gridCol w:w="458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2249"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c>
          <w:tcPr>
            <w:tcW w:w="2750"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投标人具有电子与智能化工程专业承包二级或以上资质，须提供相关资质材料扫描件并加盖投标人公章。</w:t>
            </w:r>
            <w:r>
              <w:rPr>
                <w:rFonts w:ascii="宋体" w:hAnsi="宋体" w:eastAsia="宋体" w:cs="宋体"/>
                <w:kern w:val="0"/>
                <w:sz w:val="24"/>
                <w:szCs w:val="24"/>
              </w:rPr>
              <w:t xml:space="preserve"> ※投标人应按照招标文件第七章规定提供。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widowControl/>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  （3）投标保证金。</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1.4有下列情形之一的，</w:t>
      </w:r>
      <w:r>
        <w:rPr>
          <w:rFonts w:ascii="宋体" w:hAnsi="宋体" w:eastAsia="宋体" w:cs="宋体"/>
          <w:b/>
          <w:bCs/>
          <w:kern w:val="0"/>
          <w:sz w:val="24"/>
          <w:szCs w:val="24"/>
        </w:rPr>
        <w:t>资格审查不合格：</w:t>
      </w:r>
      <w:r>
        <w:rPr>
          <w:rFonts w:ascii="宋体" w:hAnsi="宋体" w:eastAsia="宋体" w:cs="宋体"/>
          <w:b/>
          <w:bCs/>
          <w:kern w:val="0"/>
          <w:sz w:val="24"/>
          <w:szCs w:val="24"/>
        </w:rPr>
        <w:br w:type="textWrapping"/>
      </w:r>
      <w:r>
        <w:rPr>
          <w:rFonts w:ascii="宋体" w:hAnsi="宋体" w:eastAsia="宋体" w:cs="宋体"/>
          <w:kern w:val="0"/>
          <w:sz w:val="24"/>
          <w:szCs w:val="24"/>
        </w:rPr>
        <w:t>  （1）一般情形：</w:t>
      </w:r>
    </w:p>
    <w:tbl>
      <w:tblPr>
        <w:tblStyle w:val="16"/>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未按照招标文件规定提交投标函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未按照招标文件规定提交投标保证金</w:t>
            </w:r>
          </w:p>
        </w:tc>
      </w:tr>
    </w:tbl>
    <w:p>
      <w:pPr>
        <w:widowControl/>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  （2）本项目规定的其他情形：</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b/>
          <w:bCs/>
          <w:kern w:val="0"/>
          <w:sz w:val="24"/>
          <w:szCs w:val="24"/>
        </w:rPr>
        <w:t>包：1</w:t>
      </w:r>
      <w:r>
        <w:rPr>
          <w:rFonts w:ascii="宋体" w:hAnsi="宋体" w:eastAsia="宋体" w:cs="宋体"/>
          <w:kern w:val="0"/>
          <w:sz w:val="24"/>
          <w:szCs w:val="24"/>
        </w:rPr>
        <w:br w:type="textWrapping"/>
      </w:r>
      <w:r>
        <w:rPr>
          <w:rFonts w:ascii="宋体" w:hAnsi="宋体" w:eastAsia="宋体" w:cs="宋体"/>
          <w:b/>
          <w:bCs/>
          <w:kern w:val="0"/>
          <w:sz w:val="24"/>
          <w:szCs w:val="24"/>
        </w:rPr>
        <w:t>         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1.5若本项目接受联合体投标且投标人为联合体，联合体中有同类资质的供应商按照联合体分工承担相同工作的，应先按照资质等级较低的供应商确定资质等级，再按照本章第</w:t>
      </w:r>
      <w:r>
        <w:rPr>
          <w:rFonts w:ascii="Calibri" w:hAnsi="Calibri" w:eastAsia="宋体" w:cs="宋体"/>
          <w:kern w:val="0"/>
          <w:sz w:val="24"/>
          <w:szCs w:val="24"/>
        </w:rPr>
        <w:t>1.2</w:t>
      </w:r>
      <w:r>
        <w:rPr>
          <w:rFonts w:ascii="宋体" w:hAnsi="宋体" w:eastAsia="宋体" w:cs="宋体"/>
          <w:kern w:val="0"/>
          <w:sz w:val="24"/>
          <w:szCs w:val="24"/>
        </w:rPr>
        <w:t>、</w:t>
      </w:r>
      <w:r>
        <w:rPr>
          <w:rFonts w:ascii="Calibri" w:hAnsi="Calibri" w:eastAsia="宋体" w:cs="宋体"/>
          <w:kern w:val="0"/>
          <w:sz w:val="24"/>
          <w:szCs w:val="24"/>
        </w:rPr>
        <w:t>1.3</w:t>
      </w:r>
      <w:r>
        <w:rPr>
          <w:rFonts w:ascii="宋体" w:hAnsi="宋体" w:eastAsia="宋体" w:cs="宋体"/>
          <w:kern w:val="0"/>
          <w:sz w:val="24"/>
          <w:szCs w:val="24"/>
        </w:rPr>
        <w:t>、</w:t>
      </w:r>
      <w:r>
        <w:rPr>
          <w:rFonts w:ascii="Calibri" w:hAnsi="Calibri" w:eastAsia="宋体" w:cs="宋体"/>
          <w:kern w:val="0"/>
          <w:sz w:val="24"/>
          <w:szCs w:val="24"/>
        </w:rPr>
        <w:t>1.4</w:t>
      </w:r>
      <w:r>
        <w:rPr>
          <w:rFonts w:ascii="宋体" w:hAnsi="宋体" w:eastAsia="宋体" w:cs="宋体"/>
          <w:kern w:val="0"/>
          <w:sz w:val="24"/>
          <w:szCs w:val="24"/>
        </w:rPr>
        <w:t>条规定进行资格审查。</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2、资格审查情况不得私自外泄，有关信息由</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统一对外发布。</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3、资格审查合格的投标人不足三家的，不进行评标。同时，本次采购活动结束，</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将依法组织后续采购活动（包括但不限于：重新招标、采用其他方式采购等）。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二、评标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4、资格审查结束后，由厦门市务实采购有限公司负责评标委员会的组建及评标工作的组织。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5、评标委员会</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5.1评标委员会共</w:t>
      </w:r>
      <w:r>
        <w:rPr>
          <w:rFonts w:hint="eastAsia" w:ascii="宋体" w:hAnsi="宋体" w:eastAsia="宋体" w:cs="宋体"/>
          <w:kern w:val="0"/>
          <w:sz w:val="24"/>
          <w:szCs w:val="24"/>
        </w:rPr>
        <w:t>7</w:t>
      </w:r>
      <w:r>
        <w:rPr>
          <w:rFonts w:ascii="宋体" w:hAnsi="宋体" w:eastAsia="宋体" w:cs="宋体"/>
          <w:kern w:val="0"/>
          <w:sz w:val="24"/>
          <w:szCs w:val="24"/>
        </w:rPr>
        <w:t>人（以下简称“评委”）组成，其中：由评审专家库产生的评标专家</w:t>
      </w:r>
      <w:r>
        <w:rPr>
          <w:rFonts w:hint="eastAsia" w:ascii="宋体" w:hAnsi="宋体" w:eastAsia="宋体" w:cs="宋体"/>
          <w:kern w:val="0"/>
          <w:sz w:val="24"/>
          <w:szCs w:val="24"/>
        </w:rPr>
        <w:t>7</w:t>
      </w:r>
      <w:r>
        <w:rPr>
          <w:rFonts w:ascii="宋体" w:hAnsi="宋体" w:eastAsia="宋体" w:cs="宋体"/>
          <w:kern w:val="0"/>
          <w:sz w:val="24"/>
          <w:szCs w:val="24"/>
        </w:rPr>
        <w:t>人。</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5.2评标委员会负责具体评标事务，并按照下列原则依法独立履行有关职责：</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（1）评标应保护国家利益、社会公共利益和各方当事人合法权益，提高采购效益，保证项目质量。</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（2）评标应遵循公平、公正、科学、严谨和择优原则。</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（3）评标的依据是招标文件和投标文件。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（4）应按照招标文件规定推荐中标候选人或确定中标人。</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（5）评标应遵守下列评标纪律：</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评标情况不得私自外泄，有关信息由</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统一对外发布。</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对</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或投标人提供的要求保密的资料，不得摘记翻印和外传。</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不得收受投标人或有关人员的任何礼物，不得串联鼓动其他人袒护某投标人。若与投标人存在利害关系，则应主动声明并回避。</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全体评委应按照招标文件规定进行评标，一切认定事项应查有实据且不得弄虚作假。</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评标中应充分发扬民主，推荐中标候选人或确定中标人后要服从评标报告。</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对违反评标纪律的评委，将取消其评委资格，对评标工作造成严重损失者将予以通报批评乃至追究法律责任。</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6、评标程序</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6.1评标前的准备工作</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（1）全体评委应认真审阅招标文件，了解评委应履行或遵守的职责、义务和评标纪律。</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6.2符合性审查</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（1）评标委员会依据招标文件的实质性要求，对通过资格审查的投标文件进行符合性审查，以确定其是否满足招标文件的实质性要求。</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（2）满足招标文件的实质性要求指投标文件对招标文件实质性要求的响应不存在重大偏差或保留。</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（5）评标委员会对所有投标人都执行相同的程序和标准。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（6）有下列情形之一的，</w:t>
      </w:r>
      <w:r>
        <w:rPr>
          <w:rFonts w:ascii="宋体" w:hAnsi="宋体" w:eastAsia="宋体" w:cs="宋体"/>
          <w:b/>
          <w:bCs/>
          <w:kern w:val="0"/>
          <w:sz w:val="24"/>
          <w:szCs w:val="24"/>
        </w:rPr>
        <w:t>符合性审查不合格：</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一般情形：</w:t>
      </w:r>
    </w:p>
    <w:tbl>
      <w:tblPr>
        <w:tblStyle w:val="16"/>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投标文件对招标文件实质性要求的响应存在重大偏离或保留。</w:t>
            </w:r>
          </w:p>
        </w:tc>
      </w:tr>
    </w:tbl>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本项目规定的其他情形：</w:t>
      </w:r>
      <w:r>
        <w:rPr>
          <w:rFonts w:ascii="宋体" w:hAnsi="宋体" w:eastAsia="宋体" w:cs="宋体"/>
          <w:kern w:val="0"/>
          <w:sz w:val="24"/>
          <w:szCs w:val="24"/>
        </w:rPr>
        <w:br w:type="textWrapping"/>
      </w:r>
      <w:r>
        <w:rPr>
          <w:rFonts w:ascii="宋体" w:hAnsi="宋体" w:eastAsia="宋体" w:cs="宋体"/>
          <w:b/>
          <w:bCs/>
          <w:kern w:val="0"/>
          <w:sz w:val="24"/>
          <w:szCs w:val="24"/>
        </w:rPr>
        <w:t>包：1</w:t>
      </w:r>
      <w:r>
        <w:rPr>
          <w:rFonts w:ascii="宋体" w:hAnsi="宋体" w:eastAsia="宋体" w:cs="宋体"/>
          <w:kern w:val="0"/>
          <w:sz w:val="24"/>
          <w:szCs w:val="24"/>
        </w:rPr>
        <w:br w:type="textWrapping"/>
      </w:r>
      <w:r>
        <w:rPr>
          <w:rFonts w:ascii="宋体" w:hAnsi="宋体" w:eastAsia="宋体" w:cs="宋体"/>
          <w:b/>
          <w:bCs/>
          <w:kern w:val="0"/>
          <w:sz w:val="24"/>
          <w:szCs w:val="24"/>
        </w:rPr>
        <w:t>         无</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6.3澄清有关问题</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（1）对通过符合性审查的投标文件中含义不明确、同类问题表述不一致或有明显文字和计算错误的内容，评标委员会将以书面形式要求投标人作出必要的澄清、说明或补正。</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（3）投标文件报价出现前后不一致的，除招标文件另有规定外，按照下列规定修正：</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开标一览表内容与投标文件中相应内容不一致的，以开标一览表为准；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大写金额和小写金额不一致的，以大写金额为准；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单价金额小数点或百分比有明显错位的，以开标一览表的总价为准，并修改单价；</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总价金额与按照单价汇总金额不一致的，以单价金额计算结果为准。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同时出现两种以上不一致的，按照前款规定的顺序修正。修正后的报价应按照本章第</w:t>
      </w:r>
      <w:r>
        <w:rPr>
          <w:rFonts w:ascii="Calibri" w:hAnsi="Calibri" w:eastAsia="宋体" w:cs="宋体"/>
          <w:b/>
          <w:bCs/>
          <w:kern w:val="0"/>
          <w:sz w:val="24"/>
          <w:szCs w:val="24"/>
        </w:rPr>
        <w:t>6.3</w:t>
      </w:r>
      <w:r>
        <w:rPr>
          <w:rFonts w:ascii="宋体" w:hAnsi="宋体" w:eastAsia="宋体" w:cs="宋体"/>
          <w:b/>
          <w:bCs/>
          <w:kern w:val="0"/>
          <w:sz w:val="24"/>
          <w:szCs w:val="24"/>
        </w:rPr>
        <w:t>条第（</w:t>
      </w:r>
      <w:r>
        <w:rPr>
          <w:rFonts w:ascii="Calibri" w:hAnsi="Calibri" w:eastAsia="宋体" w:cs="宋体"/>
          <w:b/>
          <w:bCs/>
          <w:kern w:val="0"/>
          <w:sz w:val="24"/>
          <w:szCs w:val="24"/>
        </w:rPr>
        <w:t>1</w:t>
      </w:r>
      <w:r>
        <w:rPr>
          <w:rFonts w:ascii="宋体" w:hAnsi="宋体" w:eastAsia="宋体" w:cs="宋体"/>
          <w:b/>
          <w:bCs/>
          <w:kern w:val="0"/>
          <w:sz w:val="24"/>
          <w:szCs w:val="24"/>
        </w:rPr>
        <w:t>）、（</w:t>
      </w:r>
      <w:r>
        <w:rPr>
          <w:rFonts w:ascii="Calibri" w:hAnsi="Calibri" w:eastAsia="宋体" w:cs="宋体"/>
          <w:b/>
          <w:bCs/>
          <w:kern w:val="0"/>
          <w:sz w:val="24"/>
          <w:szCs w:val="24"/>
        </w:rPr>
        <w:t>2</w:t>
      </w:r>
      <w:r>
        <w:rPr>
          <w:rFonts w:ascii="宋体" w:hAnsi="宋体" w:eastAsia="宋体" w:cs="宋体"/>
          <w:b/>
          <w:bCs/>
          <w:kern w:val="0"/>
          <w:sz w:val="24"/>
          <w:szCs w:val="24"/>
        </w:rPr>
        <w:t>）款规定经投标人确认后产生约束力，投标人不确认的，其投标无效。</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（4）关于细微偏差</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评标委员会将以书面形式要求存在细微偏差的投标人在评标委员会规定的时间内予以补正。若无法补正，则评标委员会将按照不利于投标人的内容进行认定。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（5）关于投标描述（即投标文件中描述的内容）</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投标描述前后不一致且不涉及证明材料的：按照本章第</w:t>
      </w:r>
      <w:r>
        <w:rPr>
          <w:rFonts w:ascii="Calibri" w:hAnsi="Calibri" w:eastAsia="宋体" w:cs="宋体"/>
          <w:kern w:val="0"/>
          <w:sz w:val="24"/>
          <w:szCs w:val="24"/>
        </w:rPr>
        <w:t>6.3</w:t>
      </w:r>
      <w:r>
        <w:rPr>
          <w:rFonts w:ascii="宋体" w:hAnsi="宋体" w:eastAsia="宋体" w:cs="宋体"/>
          <w:kern w:val="0"/>
          <w:sz w:val="24"/>
          <w:szCs w:val="24"/>
        </w:rPr>
        <w:t>条第（</w:t>
      </w:r>
      <w:r>
        <w:rPr>
          <w:rFonts w:ascii="Calibri" w:hAnsi="Calibri" w:eastAsia="宋体" w:cs="宋体"/>
          <w:kern w:val="0"/>
          <w:sz w:val="24"/>
          <w:szCs w:val="24"/>
        </w:rPr>
        <w:t>1</w:t>
      </w:r>
      <w:r>
        <w:rPr>
          <w:rFonts w:ascii="宋体" w:hAnsi="宋体" w:eastAsia="宋体" w:cs="宋体"/>
          <w:kern w:val="0"/>
          <w:sz w:val="24"/>
          <w:szCs w:val="24"/>
        </w:rPr>
        <w:t>）、（</w:t>
      </w:r>
      <w:r>
        <w:rPr>
          <w:rFonts w:ascii="Calibri" w:hAnsi="Calibri" w:eastAsia="宋体" w:cs="宋体"/>
          <w:kern w:val="0"/>
          <w:sz w:val="24"/>
          <w:szCs w:val="24"/>
        </w:rPr>
        <w:t>2</w:t>
      </w:r>
      <w:r>
        <w:rPr>
          <w:rFonts w:ascii="宋体" w:hAnsi="宋体" w:eastAsia="宋体" w:cs="宋体"/>
          <w:kern w:val="0"/>
          <w:sz w:val="24"/>
          <w:szCs w:val="24"/>
        </w:rPr>
        <w:t>）款规定执行。</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投标描述与证明材料不一致或多份证明材料之间不一致的：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a.评标委员会将要求投标人进行书面澄清，并按照不利于投标人的内容进行评标。</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6.4比较与评价</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（1）按照本章第</w:t>
      </w:r>
      <w:r>
        <w:rPr>
          <w:rFonts w:ascii="Calibri" w:hAnsi="Calibri" w:eastAsia="宋体" w:cs="宋体"/>
          <w:kern w:val="0"/>
          <w:sz w:val="24"/>
          <w:szCs w:val="24"/>
        </w:rPr>
        <w:t>7</w:t>
      </w:r>
      <w:r>
        <w:rPr>
          <w:rFonts w:ascii="宋体" w:hAnsi="宋体" w:eastAsia="宋体" w:cs="宋体"/>
          <w:kern w:val="0"/>
          <w:sz w:val="24"/>
          <w:szCs w:val="24"/>
        </w:rPr>
        <w:t>条载明的评标方法和标准，对符合性审查合格的投标文件进行比较与评价。</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（2）关于相同品牌产品</w:t>
      </w:r>
      <w:r>
        <w:rPr>
          <w:rFonts w:ascii="宋体" w:hAnsi="宋体" w:eastAsia="宋体" w:cs="宋体"/>
          <w:b/>
          <w:bCs/>
          <w:kern w:val="0"/>
          <w:sz w:val="24"/>
          <w:szCs w:val="24"/>
        </w:rPr>
        <w:t>（政府采购服务类项目不适用本条款规定）</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采用最低评标价法的，提供相同品牌产品的不同投标人参加同一合同项下投标的，以其中通过资格审查、符合性审查且报价最低的参加评标；报价相同的，由评标委员会按照下列方式确定一个参加评标的投标人：</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a.招标文件规定的方式：</w:t>
      </w:r>
      <w:r>
        <w:rPr>
          <w:rFonts w:ascii="宋体" w:hAnsi="宋体" w:eastAsia="宋体" w:cs="宋体"/>
          <w:kern w:val="0"/>
          <w:sz w:val="24"/>
          <w:szCs w:val="24"/>
          <w:u w:val="single"/>
        </w:rPr>
        <w:t>无。</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b.招标文件未规定的，采取随机抽取方式确定，其他</w:t>
      </w:r>
      <w:r>
        <w:rPr>
          <w:rFonts w:ascii="宋体" w:hAnsi="宋体" w:eastAsia="宋体" w:cs="宋体"/>
          <w:b/>
          <w:bCs/>
          <w:kern w:val="0"/>
          <w:sz w:val="24"/>
          <w:szCs w:val="24"/>
        </w:rPr>
        <w:t>投标无效。</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a.招标文件规定的方式：</w:t>
      </w:r>
      <w:r>
        <w:rPr>
          <w:rFonts w:ascii="宋体" w:hAnsi="宋体" w:eastAsia="宋体" w:cs="宋体"/>
          <w:kern w:val="0"/>
          <w:sz w:val="24"/>
          <w:szCs w:val="24"/>
          <w:u w:val="single"/>
        </w:rPr>
        <w:t>无。</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b.招标文件未规定的，采取随机抽取方式确定，其他同品牌投标人不作为中标候选人。</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非单一产品采购项目，多家投标人提供的核心产品品牌相同的，按照本章第</w:t>
      </w:r>
      <w:r>
        <w:rPr>
          <w:rFonts w:ascii="Calibri" w:hAnsi="Calibri" w:eastAsia="宋体" w:cs="宋体"/>
          <w:kern w:val="0"/>
          <w:sz w:val="24"/>
          <w:szCs w:val="24"/>
        </w:rPr>
        <w:t>6.4</w:t>
      </w:r>
      <w:r>
        <w:rPr>
          <w:rFonts w:ascii="宋体" w:hAnsi="宋体" w:eastAsia="宋体" w:cs="宋体"/>
          <w:kern w:val="0"/>
          <w:sz w:val="24"/>
          <w:szCs w:val="24"/>
        </w:rPr>
        <w:t>条第（</w:t>
      </w:r>
      <w:r>
        <w:rPr>
          <w:rFonts w:ascii="Calibri" w:hAnsi="Calibri" w:eastAsia="宋体" w:cs="宋体"/>
          <w:kern w:val="0"/>
          <w:sz w:val="24"/>
          <w:szCs w:val="24"/>
        </w:rPr>
        <w:t>2</w:t>
      </w:r>
      <w:r>
        <w:rPr>
          <w:rFonts w:ascii="宋体" w:hAnsi="宋体" w:eastAsia="宋体" w:cs="宋体"/>
          <w:kern w:val="0"/>
          <w:sz w:val="24"/>
          <w:szCs w:val="24"/>
        </w:rPr>
        <w:t>）款第</w:t>
      </w:r>
      <w:r>
        <w:rPr>
          <w:rFonts w:hint="eastAsia" w:ascii="宋体" w:hAnsi="宋体" w:eastAsia="宋体" w:cs="宋体"/>
          <w:kern w:val="0"/>
          <w:sz w:val="24"/>
          <w:szCs w:val="24"/>
        </w:rPr>
        <w:t>①</w:t>
      </w:r>
      <w:r>
        <w:rPr>
          <w:rFonts w:ascii="宋体" w:hAnsi="宋体" w:eastAsia="宋体" w:cs="宋体"/>
          <w:kern w:val="0"/>
          <w:sz w:val="24"/>
          <w:szCs w:val="24"/>
        </w:rPr>
        <w:t>、</w:t>
      </w:r>
      <w:r>
        <w:rPr>
          <w:rFonts w:hint="eastAsia" w:ascii="宋体" w:hAnsi="宋体" w:eastAsia="宋体" w:cs="宋体"/>
          <w:kern w:val="0"/>
          <w:sz w:val="24"/>
          <w:szCs w:val="24"/>
        </w:rPr>
        <w:t>②</w:t>
      </w:r>
      <w:r>
        <w:rPr>
          <w:rFonts w:ascii="宋体" w:hAnsi="宋体" w:eastAsia="宋体" w:cs="宋体"/>
          <w:kern w:val="0"/>
          <w:sz w:val="24"/>
          <w:szCs w:val="24"/>
        </w:rPr>
        <w:t>规定处理。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（3）漏（缺）项</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招标文件中要求列入报价的费用（含配置、功能），漏（缺）项的报价视为已经包括在投标总价中。</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对多报项及赠送项的价格评标时不予核减，全部进入评标价评议。</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6.5推荐中标候选人：详见本章第</w:t>
      </w:r>
      <w:r>
        <w:rPr>
          <w:rFonts w:ascii="Calibri" w:hAnsi="Calibri" w:eastAsia="宋体" w:cs="宋体"/>
          <w:kern w:val="0"/>
          <w:sz w:val="24"/>
          <w:szCs w:val="24"/>
        </w:rPr>
        <w:t>7.2</w:t>
      </w:r>
      <w:r>
        <w:rPr>
          <w:rFonts w:ascii="宋体" w:hAnsi="宋体" w:eastAsia="宋体" w:cs="宋体"/>
          <w:kern w:val="0"/>
          <w:sz w:val="24"/>
          <w:szCs w:val="24"/>
        </w:rPr>
        <w:t>条规定。</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6.6编写评标报告</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（1）评标报告由评标委员会负责编写。</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（2）评标报告应包括下列内容：</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招标公告刊登的媒体名称、开标日期和地点；</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投标人名单和评标委员会成员名单；</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评标方法和标准；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开标记录和评标情况及说明，包括无效投标人名单及原因；</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评标结果，包括中标候选人名单或确定的中标人；</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⑥</w:t>
      </w:r>
      <w:r>
        <w:rPr>
          <w:rFonts w:ascii="宋体" w:hAnsi="宋体" w:eastAsia="宋体" w:cs="宋体"/>
          <w:kern w:val="0"/>
          <w:sz w:val="24"/>
          <w:szCs w:val="24"/>
        </w:rPr>
        <w:t>其他需要说明的情况，包括但不限于：评标过程中投标人的澄清、说明或补正，评委更换等。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ascii="宋体" w:hAnsi="宋体" w:eastAsia="宋体" w:cs="宋体"/>
          <w:b/>
          <w:bCs/>
          <w:kern w:val="0"/>
          <w:sz w:val="24"/>
          <w:szCs w:val="24"/>
        </w:rPr>
        <w:t>投标无效</w:t>
      </w:r>
      <w:r>
        <w:rPr>
          <w:rFonts w:ascii="宋体" w:hAnsi="宋体" w:eastAsia="宋体" w:cs="宋体"/>
          <w:kern w:val="0"/>
          <w:sz w:val="24"/>
          <w:szCs w:val="24"/>
        </w:rPr>
        <w:t>处理。</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6.8评委对需要共同认定的事项存在争议的，应按照少数服从多数的原则进行认定。</w:t>
      </w:r>
      <w:r>
        <w:rPr>
          <w:rFonts w:ascii="宋体" w:hAnsi="宋体" w:eastAsia="宋体" w:cs="宋体"/>
          <w:b/>
          <w:bCs/>
          <w:kern w:val="0"/>
          <w:sz w:val="24"/>
          <w:szCs w:val="24"/>
        </w:rPr>
        <w:t>持不同意见的评委应在评标报告上签署不同意见及理由，否则视为同意评标报告。</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6.9在评标过程中发现投标人有下列情形之一的，评标委员会应认定其</w:t>
      </w:r>
      <w:r>
        <w:rPr>
          <w:rFonts w:ascii="宋体" w:hAnsi="宋体" w:eastAsia="宋体" w:cs="宋体"/>
          <w:b/>
          <w:bCs/>
          <w:kern w:val="0"/>
          <w:sz w:val="24"/>
          <w:szCs w:val="24"/>
        </w:rPr>
        <w:t>投标无效</w:t>
      </w:r>
      <w:r>
        <w:rPr>
          <w:rFonts w:ascii="宋体" w:hAnsi="宋体" w:eastAsia="宋体" w:cs="宋体"/>
          <w:kern w:val="0"/>
          <w:sz w:val="24"/>
          <w:szCs w:val="24"/>
        </w:rPr>
        <w:t>，并书面报告本项目监督管理部门：</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（1）恶意串通（包括但不限于招标文件第三章第</w:t>
      </w:r>
      <w:r>
        <w:rPr>
          <w:rFonts w:ascii="Calibri" w:hAnsi="Calibri" w:eastAsia="宋体" w:cs="宋体"/>
          <w:kern w:val="0"/>
          <w:sz w:val="24"/>
          <w:szCs w:val="24"/>
        </w:rPr>
        <w:t>9.7</w:t>
      </w:r>
      <w:r>
        <w:rPr>
          <w:rFonts w:ascii="宋体" w:hAnsi="宋体" w:eastAsia="宋体" w:cs="宋体"/>
          <w:kern w:val="0"/>
          <w:sz w:val="24"/>
          <w:szCs w:val="24"/>
        </w:rPr>
        <w:t>条规定情形）；</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（2）妨碍其他投标人的竞争行为；</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（3）损害采购人或其他投标人的合法权益。</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6.10评标过程中，有下列情形之一的，应予废标：</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（1）符合性审查合格的投标人不足三家的；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（2）有关法律、法规和规章规定废标的情形。</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若废标，则本次采购活动结束，</w:t>
      </w:r>
      <w:r>
        <w:rPr>
          <w:rFonts w:ascii="宋体" w:hAnsi="宋体" w:eastAsia="宋体" w:cs="宋体"/>
          <w:kern w:val="0"/>
          <w:sz w:val="24"/>
          <w:szCs w:val="24"/>
          <w:u w:val="single"/>
        </w:rPr>
        <w:t>厦门市务实采购有限公司</w:t>
      </w:r>
      <w:r>
        <w:rPr>
          <w:rFonts w:ascii="宋体" w:hAnsi="宋体" w:eastAsia="宋体" w:cs="宋体"/>
          <w:b/>
          <w:bCs/>
          <w:kern w:val="0"/>
          <w:sz w:val="24"/>
          <w:szCs w:val="24"/>
        </w:rPr>
        <w:t>将依法组织后续采购活动（包括但不限于：重新招标、采用其他方式采购等）。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7、评标方法和标准</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7.1评标方法： 合同包1采用综合评分法。</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7.2评标标准</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hd w:val="clear" w:color="auto" w:fill="FFFFFF"/>
        <w:spacing w:after="150"/>
        <w:jc w:val="left"/>
        <w:rPr>
          <w:rFonts w:ascii="微软雅黑" w:hAnsi="微软雅黑" w:eastAsia="微软雅黑" w:cs="宋体"/>
          <w:color w:val="393939"/>
          <w:kern w:val="0"/>
          <w:sz w:val="20"/>
          <w:szCs w:val="20"/>
        </w:rPr>
      </w:pPr>
      <w:r>
        <w:rPr>
          <w:rFonts w:ascii="宋体" w:hAnsi="宋体" w:eastAsia="微软雅黑" w:cs="宋体"/>
          <w:b/>
          <w:bCs/>
          <w:color w:val="393939"/>
          <w:kern w:val="0"/>
          <w:sz w:val="24"/>
          <w:szCs w:val="24"/>
        </w:rPr>
        <w:t>合同包1采用综合评分法</w:t>
      </w:r>
      <w:r>
        <w:rPr>
          <w:rFonts w:ascii="宋体" w:hAnsi="宋体" w:eastAsia="微软雅黑" w:cs="宋体"/>
          <w:color w:val="393939"/>
          <w:kern w:val="0"/>
          <w:sz w:val="24"/>
          <w:szCs w:val="24"/>
        </w:rPr>
        <w:t>：</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 xml:space="preserve">（1）投标文件满足招标文件全部实质性要求，且按照评审因素的量化指标评审得分（即评标总得分）最高的投标人为中标候选人。 </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（2）每个投标人的评标总得分</w:t>
      </w:r>
      <w:r>
        <w:rPr>
          <w:rFonts w:ascii="Calibri" w:hAnsi="Calibri" w:eastAsia="宋体" w:cs="宋体"/>
          <w:kern w:val="0"/>
          <w:sz w:val="24"/>
          <w:szCs w:val="24"/>
        </w:rPr>
        <w:t>FA</w:t>
      </w:r>
      <w:r>
        <w:rPr>
          <w:rFonts w:ascii="宋体" w:hAnsi="宋体" w:eastAsia="宋体" w:cs="宋体"/>
          <w:kern w:val="0"/>
          <w:sz w:val="24"/>
          <w:szCs w:val="24"/>
        </w:rPr>
        <w:t>＝</w:t>
      </w:r>
      <w:r>
        <w:rPr>
          <w:rFonts w:ascii="Calibri" w:hAnsi="Calibri" w:eastAsia="宋体" w:cs="宋体"/>
          <w:kern w:val="0"/>
          <w:sz w:val="24"/>
          <w:szCs w:val="24"/>
        </w:rPr>
        <w:t>F1</w:t>
      </w:r>
      <w:r>
        <w:rPr>
          <w:rFonts w:ascii="宋体" w:hAnsi="宋体" w:eastAsia="宋体" w:cs="宋体"/>
          <w:kern w:val="0"/>
          <w:sz w:val="24"/>
          <w:szCs w:val="24"/>
        </w:rPr>
        <w:t>×</w:t>
      </w:r>
      <w:r>
        <w:rPr>
          <w:rFonts w:ascii="Calibri" w:hAnsi="Calibri" w:eastAsia="宋体" w:cs="宋体"/>
          <w:kern w:val="0"/>
          <w:sz w:val="24"/>
          <w:szCs w:val="24"/>
        </w:rPr>
        <w:t>A1</w:t>
      </w:r>
      <w:r>
        <w:rPr>
          <w:rFonts w:ascii="宋体" w:hAnsi="宋体" w:eastAsia="宋体" w:cs="宋体"/>
          <w:kern w:val="0"/>
          <w:sz w:val="24"/>
          <w:szCs w:val="24"/>
        </w:rPr>
        <w:t>＋</w:t>
      </w:r>
      <w:r>
        <w:rPr>
          <w:rFonts w:ascii="Calibri" w:hAnsi="Calibri" w:eastAsia="宋体" w:cs="宋体"/>
          <w:kern w:val="0"/>
          <w:sz w:val="24"/>
          <w:szCs w:val="24"/>
        </w:rPr>
        <w:t>F2</w:t>
      </w:r>
      <w:r>
        <w:rPr>
          <w:rFonts w:ascii="宋体" w:hAnsi="宋体" w:eastAsia="宋体" w:cs="宋体"/>
          <w:kern w:val="0"/>
          <w:sz w:val="24"/>
          <w:szCs w:val="24"/>
        </w:rPr>
        <w:t>×</w:t>
      </w:r>
      <w:r>
        <w:rPr>
          <w:rFonts w:ascii="Calibri" w:hAnsi="Calibri" w:eastAsia="宋体" w:cs="宋体"/>
          <w:kern w:val="0"/>
          <w:sz w:val="24"/>
          <w:szCs w:val="24"/>
        </w:rPr>
        <w:t>A2</w:t>
      </w:r>
      <w:r>
        <w:rPr>
          <w:rFonts w:ascii="宋体" w:hAnsi="宋体" w:eastAsia="宋体" w:cs="宋体"/>
          <w:kern w:val="0"/>
          <w:sz w:val="24"/>
          <w:szCs w:val="24"/>
        </w:rPr>
        <w:t>＋</w:t>
      </w:r>
      <w:r>
        <w:rPr>
          <w:rFonts w:ascii="Calibri" w:hAnsi="Calibri" w:eastAsia="宋体" w:cs="宋体"/>
          <w:kern w:val="0"/>
          <w:sz w:val="24"/>
          <w:szCs w:val="24"/>
        </w:rPr>
        <w:t>F3</w:t>
      </w:r>
      <w:r>
        <w:rPr>
          <w:rFonts w:ascii="宋体" w:hAnsi="宋体" w:eastAsia="宋体" w:cs="宋体"/>
          <w:kern w:val="0"/>
          <w:sz w:val="24"/>
          <w:szCs w:val="24"/>
        </w:rPr>
        <w:t>×</w:t>
      </w:r>
      <w:r>
        <w:rPr>
          <w:rFonts w:ascii="Calibri" w:hAnsi="Calibri" w:eastAsia="宋体" w:cs="宋体"/>
          <w:kern w:val="0"/>
          <w:sz w:val="24"/>
          <w:szCs w:val="24"/>
        </w:rPr>
        <w:t>A3</w:t>
      </w:r>
      <w:r>
        <w:rPr>
          <w:rFonts w:ascii="宋体" w:hAnsi="宋体" w:eastAsia="宋体" w:cs="宋体"/>
          <w:kern w:val="0"/>
          <w:sz w:val="24"/>
          <w:szCs w:val="24"/>
        </w:rPr>
        <w:t>＋</w:t>
      </w:r>
      <w:r>
        <w:rPr>
          <w:rFonts w:ascii="Calibri" w:hAnsi="Calibri" w:eastAsia="宋体" w:cs="宋体"/>
          <w:kern w:val="0"/>
          <w:sz w:val="24"/>
          <w:szCs w:val="24"/>
        </w:rPr>
        <w:t>F4</w:t>
      </w:r>
      <w:r>
        <w:rPr>
          <w:rFonts w:ascii="宋体" w:hAnsi="宋体" w:eastAsia="宋体" w:cs="宋体"/>
          <w:kern w:val="0"/>
          <w:sz w:val="24"/>
          <w:szCs w:val="24"/>
        </w:rPr>
        <w:t>×</w:t>
      </w:r>
      <w:r>
        <w:rPr>
          <w:rFonts w:ascii="Calibri" w:hAnsi="Calibri" w:eastAsia="宋体" w:cs="宋体"/>
          <w:kern w:val="0"/>
          <w:sz w:val="24"/>
          <w:szCs w:val="24"/>
        </w:rPr>
        <w:t>A4</w:t>
      </w:r>
      <w:r>
        <w:rPr>
          <w:rFonts w:ascii="宋体" w:hAnsi="宋体" w:eastAsia="宋体" w:cs="宋体"/>
          <w:kern w:val="0"/>
          <w:sz w:val="24"/>
          <w:szCs w:val="24"/>
        </w:rPr>
        <w:t>（若有），其中：</w:t>
      </w:r>
      <w:r>
        <w:rPr>
          <w:rFonts w:ascii="Calibri" w:hAnsi="Calibri" w:eastAsia="宋体" w:cs="宋体"/>
          <w:kern w:val="0"/>
          <w:sz w:val="24"/>
          <w:szCs w:val="24"/>
        </w:rPr>
        <w:t>F1</w:t>
      </w:r>
      <w:r>
        <w:rPr>
          <w:rFonts w:ascii="宋体" w:hAnsi="宋体" w:eastAsia="宋体" w:cs="宋体"/>
          <w:kern w:val="0"/>
          <w:sz w:val="24"/>
          <w:szCs w:val="24"/>
        </w:rPr>
        <w:t>指价格项评审因素得分、</w:t>
      </w:r>
      <w:r>
        <w:rPr>
          <w:rFonts w:ascii="Calibri" w:hAnsi="Calibri" w:eastAsia="宋体" w:cs="宋体"/>
          <w:kern w:val="0"/>
          <w:sz w:val="24"/>
          <w:szCs w:val="24"/>
        </w:rPr>
        <w:t>F2</w:t>
      </w:r>
      <w:r>
        <w:rPr>
          <w:rFonts w:ascii="宋体" w:hAnsi="宋体" w:eastAsia="宋体" w:cs="宋体"/>
          <w:kern w:val="0"/>
          <w:sz w:val="24"/>
          <w:szCs w:val="24"/>
        </w:rPr>
        <w:t>指技术项评审因素得分、</w:t>
      </w:r>
      <w:r>
        <w:rPr>
          <w:rFonts w:ascii="Calibri" w:hAnsi="Calibri" w:eastAsia="宋体" w:cs="宋体"/>
          <w:kern w:val="0"/>
          <w:sz w:val="24"/>
          <w:szCs w:val="24"/>
        </w:rPr>
        <w:t>F3</w:t>
      </w:r>
      <w:r>
        <w:rPr>
          <w:rFonts w:ascii="宋体" w:hAnsi="宋体" w:eastAsia="宋体" w:cs="宋体"/>
          <w:kern w:val="0"/>
          <w:sz w:val="24"/>
          <w:szCs w:val="24"/>
        </w:rPr>
        <w:t>指商务项评审因素得分，</w:t>
      </w:r>
      <w:r>
        <w:rPr>
          <w:rFonts w:ascii="Calibri" w:hAnsi="Calibri" w:eastAsia="宋体" w:cs="宋体"/>
          <w:kern w:val="0"/>
          <w:sz w:val="24"/>
          <w:szCs w:val="24"/>
        </w:rPr>
        <w:t>A1</w:t>
      </w:r>
      <w:r>
        <w:rPr>
          <w:rFonts w:ascii="宋体" w:hAnsi="宋体" w:eastAsia="宋体" w:cs="宋体"/>
          <w:kern w:val="0"/>
          <w:sz w:val="24"/>
          <w:szCs w:val="24"/>
        </w:rPr>
        <w:t>指价格项评审因素所占的权重、</w:t>
      </w:r>
      <w:r>
        <w:rPr>
          <w:rFonts w:ascii="Calibri" w:hAnsi="Calibri" w:eastAsia="宋体" w:cs="宋体"/>
          <w:kern w:val="0"/>
          <w:sz w:val="24"/>
          <w:szCs w:val="24"/>
        </w:rPr>
        <w:t>A2</w:t>
      </w:r>
      <w:r>
        <w:rPr>
          <w:rFonts w:ascii="宋体" w:hAnsi="宋体" w:eastAsia="宋体" w:cs="宋体"/>
          <w:kern w:val="0"/>
          <w:sz w:val="24"/>
          <w:szCs w:val="24"/>
        </w:rPr>
        <w:t>指技术项评审因素所占的权重、</w:t>
      </w:r>
      <w:r>
        <w:rPr>
          <w:rFonts w:ascii="Calibri" w:hAnsi="Calibri" w:eastAsia="宋体" w:cs="宋体"/>
          <w:kern w:val="0"/>
          <w:sz w:val="24"/>
          <w:szCs w:val="24"/>
        </w:rPr>
        <w:t>A3</w:t>
      </w:r>
      <w:r>
        <w:rPr>
          <w:rFonts w:ascii="宋体" w:hAnsi="宋体" w:eastAsia="宋体" w:cs="宋体"/>
          <w:kern w:val="0"/>
          <w:sz w:val="24"/>
          <w:szCs w:val="24"/>
        </w:rPr>
        <w:t>指商务项评审因素所占的权重，</w:t>
      </w:r>
      <w:r>
        <w:rPr>
          <w:rFonts w:ascii="Calibri" w:hAnsi="Calibri" w:eastAsia="宋体" w:cs="宋体"/>
          <w:kern w:val="0"/>
          <w:sz w:val="24"/>
          <w:szCs w:val="24"/>
        </w:rPr>
        <w:t>A1+A2+A3=1</w:t>
      </w:r>
      <w:r>
        <w:rPr>
          <w:rFonts w:ascii="宋体" w:hAnsi="宋体" w:eastAsia="宋体" w:cs="宋体"/>
          <w:kern w:val="0"/>
          <w:sz w:val="24"/>
          <w:szCs w:val="24"/>
        </w:rPr>
        <w:t>、</w:t>
      </w:r>
      <w:r>
        <w:rPr>
          <w:rFonts w:ascii="Calibri" w:hAnsi="Calibri" w:eastAsia="宋体" w:cs="宋体"/>
          <w:kern w:val="0"/>
          <w:sz w:val="24"/>
          <w:szCs w:val="24"/>
        </w:rPr>
        <w:t>F1</w:t>
      </w:r>
      <w:r>
        <w:rPr>
          <w:rFonts w:ascii="宋体" w:hAnsi="宋体" w:eastAsia="宋体" w:cs="宋体"/>
          <w:kern w:val="0"/>
          <w:sz w:val="24"/>
          <w:szCs w:val="24"/>
        </w:rPr>
        <w:t>×</w:t>
      </w:r>
      <w:r>
        <w:rPr>
          <w:rFonts w:ascii="Calibri" w:hAnsi="Calibri" w:eastAsia="宋体" w:cs="宋体"/>
          <w:kern w:val="0"/>
          <w:sz w:val="24"/>
          <w:szCs w:val="24"/>
        </w:rPr>
        <w:t>A1</w:t>
      </w:r>
      <w:r>
        <w:rPr>
          <w:rFonts w:ascii="宋体" w:hAnsi="宋体" w:eastAsia="宋体" w:cs="宋体"/>
          <w:kern w:val="0"/>
          <w:sz w:val="24"/>
          <w:szCs w:val="24"/>
        </w:rPr>
        <w:t>＋</w:t>
      </w:r>
      <w:r>
        <w:rPr>
          <w:rFonts w:ascii="Calibri" w:hAnsi="Calibri" w:eastAsia="宋体" w:cs="宋体"/>
          <w:kern w:val="0"/>
          <w:sz w:val="24"/>
          <w:szCs w:val="24"/>
        </w:rPr>
        <w:t>F2</w:t>
      </w:r>
      <w:r>
        <w:rPr>
          <w:rFonts w:ascii="宋体" w:hAnsi="宋体" w:eastAsia="宋体" w:cs="宋体"/>
          <w:kern w:val="0"/>
          <w:sz w:val="24"/>
          <w:szCs w:val="24"/>
        </w:rPr>
        <w:t>×</w:t>
      </w:r>
      <w:r>
        <w:rPr>
          <w:rFonts w:ascii="Calibri" w:hAnsi="Calibri" w:eastAsia="宋体" w:cs="宋体"/>
          <w:kern w:val="0"/>
          <w:sz w:val="24"/>
          <w:szCs w:val="24"/>
        </w:rPr>
        <w:t>A2</w:t>
      </w:r>
      <w:r>
        <w:rPr>
          <w:rFonts w:ascii="宋体" w:hAnsi="宋体" w:eastAsia="宋体" w:cs="宋体"/>
          <w:kern w:val="0"/>
          <w:sz w:val="24"/>
          <w:szCs w:val="24"/>
        </w:rPr>
        <w:t>＋</w:t>
      </w:r>
      <w:r>
        <w:rPr>
          <w:rFonts w:ascii="Calibri" w:hAnsi="Calibri" w:eastAsia="宋体" w:cs="宋体"/>
          <w:kern w:val="0"/>
          <w:sz w:val="24"/>
          <w:szCs w:val="24"/>
        </w:rPr>
        <w:t>F3</w:t>
      </w:r>
      <w:r>
        <w:rPr>
          <w:rFonts w:ascii="宋体" w:hAnsi="宋体" w:eastAsia="宋体" w:cs="宋体"/>
          <w:kern w:val="0"/>
          <w:sz w:val="24"/>
          <w:szCs w:val="24"/>
        </w:rPr>
        <w:t>×</w:t>
      </w:r>
      <w:r>
        <w:rPr>
          <w:rFonts w:ascii="Calibri" w:hAnsi="Calibri" w:eastAsia="宋体" w:cs="宋体"/>
          <w:kern w:val="0"/>
          <w:sz w:val="24"/>
          <w:szCs w:val="24"/>
        </w:rPr>
        <w:t>A3=100</w:t>
      </w:r>
      <w:r>
        <w:rPr>
          <w:rFonts w:ascii="宋体" w:hAnsi="宋体" w:eastAsia="宋体" w:cs="宋体"/>
          <w:kern w:val="0"/>
          <w:sz w:val="24"/>
          <w:szCs w:val="24"/>
        </w:rPr>
        <w:t>分（满分时），</w:t>
      </w:r>
      <w:r>
        <w:rPr>
          <w:rFonts w:ascii="Calibri" w:hAnsi="Calibri" w:eastAsia="宋体" w:cs="宋体"/>
          <w:kern w:val="0"/>
          <w:sz w:val="24"/>
          <w:szCs w:val="24"/>
        </w:rPr>
        <w:t>F4</w:t>
      </w:r>
      <w:r>
        <w:rPr>
          <w:rFonts w:ascii="宋体" w:hAnsi="宋体" w:eastAsia="宋体" w:cs="宋体"/>
          <w:kern w:val="0"/>
          <w:sz w:val="24"/>
          <w:szCs w:val="24"/>
        </w:rPr>
        <w:t>×</w:t>
      </w:r>
      <w:r>
        <w:rPr>
          <w:rFonts w:ascii="Calibri" w:hAnsi="Calibri" w:eastAsia="宋体" w:cs="宋体"/>
          <w:kern w:val="0"/>
          <w:sz w:val="24"/>
          <w:szCs w:val="24"/>
        </w:rPr>
        <w:t>A4</w:t>
      </w:r>
      <w:r>
        <w:rPr>
          <w:rFonts w:ascii="宋体" w:hAnsi="宋体" w:eastAsia="宋体" w:cs="宋体"/>
          <w:kern w:val="0"/>
          <w:sz w:val="24"/>
          <w:szCs w:val="24"/>
        </w:rPr>
        <w:t xml:space="preserve">为加分项（即优先类节能产品、环境标志产品在采购活动中可享有的加分优惠）。 </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 xml:space="preserve">（3）各项评审因素的设置如下： </w:t>
      </w:r>
    </w:p>
    <w:p>
      <w:pPr>
        <w:spacing w:line="360" w:lineRule="exact"/>
        <w:rPr>
          <w:rFonts w:ascii="宋体" w:hAnsi="宋体"/>
          <w:b/>
          <w:color w:val="000000" w:themeColor="text1"/>
          <w:kern w:val="10"/>
          <w:sz w:val="24"/>
          <w:szCs w:val="24"/>
        </w:rPr>
      </w:pPr>
      <w:r>
        <w:rPr>
          <w:rFonts w:hint="eastAsia" w:ascii="宋体" w:hAnsi="宋体" w:eastAsia="宋体" w:cs="宋体"/>
          <w:color w:val="000000" w:themeColor="text1"/>
          <w:kern w:val="0"/>
          <w:sz w:val="24"/>
          <w:szCs w:val="24"/>
        </w:rPr>
        <w:t>①</w:t>
      </w:r>
      <w:r>
        <w:rPr>
          <w:rFonts w:hint="eastAsia" w:ascii="宋体" w:hAnsi="宋体"/>
          <w:b/>
          <w:color w:val="000000" w:themeColor="text1"/>
          <w:kern w:val="10"/>
          <w:sz w:val="24"/>
          <w:szCs w:val="24"/>
        </w:rPr>
        <w:t>投标价格---满分</w:t>
      </w:r>
      <w:r>
        <w:rPr>
          <w:rFonts w:hint="eastAsia" w:ascii="宋体" w:hAnsi="宋体"/>
          <w:b/>
          <w:color w:val="000000" w:themeColor="text1"/>
          <w:sz w:val="24"/>
          <w:szCs w:val="24"/>
        </w:rPr>
        <w:t>3</w:t>
      </w:r>
      <w:r>
        <w:rPr>
          <w:rFonts w:ascii="宋体" w:hAnsi="宋体"/>
          <w:b/>
          <w:color w:val="000000" w:themeColor="text1"/>
          <w:sz w:val="24"/>
          <w:szCs w:val="24"/>
        </w:rPr>
        <w:t>0</w:t>
      </w:r>
      <w:r>
        <w:rPr>
          <w:rFonts w:hint="eastAsia" w:ascii="宋体" w:hAnsi="宋体"/>
          <w:b/>
          <w:color w:val="000000" w:themeColor="text1"/>
          <w:kern w:val="10"/>
          <w:sz w:val="24"/>
          <w:szCs w:val="24"/>
        </w:rPr>
        <w:t>分</w:t>
      </w:r>
    </w:p>
    <w:p>
      <w:pPr>
        <w:pStyle w:val="2"/>
        <w:spacing w:line="280" w:lineRule="exact"/>
        <w:ind w:firstLine="482" w:firstLineChars="200"/>
        <w:rPr>
          <w:rFonts w:ascii="宋体" w:hAnsi="宋体"/>
          <w:b/>
          <w:color w:val="FF0000"/>
          <w:kern w:val="10"/>
          <w:sz w:val="24"/>
          <w:szCs w:val="24"/>
        </w:rPr>
      </w:pPr>
      <w:r>
        <w:rPr>
          <w:rFonts w:hint="eastAsia" w:ascii="宋体" w:hAnsi="宋体"/>
          <w:b/>
          <w:color w:val="FF0000"/>
          <w:kern w:val="10"/>
          <w:sz w:val="24"/>
          <w:szCs w:val="24"/>
          <w:lang w:eastAsia="zh-CN"/>
        </w:rPr>
        <w:t>注：本改造项目已经过造价审核，</w:t>
      </w:r>
      <w:r>
        <w:rPr>
          <w:rFonts w:hint="eastAsia" w:ascii="宋体" w:hAnsi="宋体"/>
          <w:b/>
          <w:color w:val="FF0000"/>
          <w:kern w:val="10"/>
          <w:sz w:val="24"/>
          <w:szCs w:val="24"/>
        </w:rPr>
        <w:t>为保证设备质量，投标人投标报价的下浮率</w:t>
      </w:r>
      <w:r>
        <w:rPr>
          <w:rFonts w:hint="eastAsia" w:ascii="宋体" w:hAnsi="宋体"/>
          <w:b/>
          <w:color w:val="FF0000"/>
          <w:kern w:val="10"/>
          <w:sz w:val="24"/>
          <w:szCs w:val="24"/>
          <w:lang w:eastAsia="zh-CN"/>
        </w:rPr>
        <w:t>若</w:t>
      </w:r>
      <w:r>
        <w:rPr>
          <w:rFonts w:hint="eastAsia" w:ascii="宋体" w:hAnsi="宋体"/>
          <w:b/>
          <w:color w:val="FF0000"/>
          <w:kern w:val="10"/>
          <w:sz w:val="24"/>
          <w:szCs w:val="24"/>
        </w:rPr>
        <w:t>超过最高限价15%视为无效标。</w:t>
      </w:r>
    </w:p>
    <w:p>
      <w:pPr>
        <w:spacing w:line="28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在满足招标要求的投标中，以最低有效报价（评标基准价）</w:t>
      </w:r>
      <w:r>
        <w:rPr>
          <w:rFonts w:ascii="宋体" w:hAnsi="宋体"/>
          <w:color w:val="000000" w:themeColor="text1"/>
          <w:sz w:val="24"/>
          <w:szCs w:val="24"/>
        </w:rPr>
        <w:t>=A</w:t>
      </w:r>
      <w:r>
        <w:rPr>
          <w:rFonts w:hint="eastAsia" w:ascii="宋体" w:hAnsi="宋体"/>
          <w:color w:val="000000" w:themeColor="text1"/>
          <w:sz w:val="24"/>
          <w:szCs w:val="24"/>
        </w:rPr>
        <w:t>；</w:t>
      </w:r>
    </w:p>
    <w:p>
      <w:pPr>
        <w:tabs>
          <w:tab w:val="left" w:pos="9344"/>
        </w:tabs>
        <w:spacing w:line="36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各有效报价得分</w:t>
      </w:r>
      <w:r>
        <w:rPr>
          <w:rFonts w:ascii="宋体" w:hAnsi="宋体"/>
          <w:color w:val="000000" w:themeColor="text1"/>
          <w:sz w:val="24"/>
          <w:szCs w:val="24"/>
        </w:rPr>
        <w:t>=</w:t>
      </w:r>
      <w:r>
        <w:rPr>
          <w:rFonts w:hint="eastAsia" w:ascii="宋体" w:hAnsi="宋体"/>
          <w:color w:val="000000" w:themeColor="text1"/>
          <w:sz w:val="24"/>
          <w:szCs w:val="24"/>
        </w:rPr>
        <w:t>3</w:t>
      </w:r>
      <w:r>
        <w:rPr>
          <w:rFonts w:ascii="宋体" w:hAnsi="宋体"/>
          <w:color w:val="000000" w:themeColor="text1"/>
          <w:sz w:val="24"/>
          <w:szCs w:val="24"/>
        </w:rPr>
        <w:t>0</w:t>
      </w:r>
      <w:r>
        <w:rPr>
          <w:rFonts w:hint="eastAsia" w:ascii="宋体" w:hAnsi="宋体"/>
          <w:color w:val="000000" w:themeColor="text1"/>
          <w:sz w:val="24"/>
          <w:szCs w:val="24"/>
        </w:rPr>
        <w:t>×</w:t>
      </w:r>
      <w:r>
        <w:rPr>
          <w:rFonts w:ascii="宋体" w:hAnsi="宋体"/>
          <w:color w:val="000000" w:themeColor="text1"/>
          <w:sz w:val="24"/>
          <w:szCs w:val="24"/>
        </w:rPr>
        <w:t>A</w:t>
      </w:r>
      <w:r>
        <w:rPr>
          <w:rFonts w:hint="eastAsia" w:ascii="宋体" w:hAnsi="宋体"/>
          <w:color w:val="000000" w:themeColor="text1"/>
          <w:sz w:val="24"/>
          <w:szCs w:val="24"/>
        </w:rPr>
        <w:t>÷该有效报价；</w:t>
      </w:r>
    </w:p>
    <w:p>
      <w:pPr>
        <w:tabs>
          <w:tab w:val="left" w:pos="9344"/>
        </w:tabs>
        <w:spacing w:line="36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评标价=有效投标报价-扣除价</w:t>
      </w:r>
    </w:p>
    <w:p>
      <w:pPr>
        <w:widowControl/>
        <w:spacing w:line="3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b.价格扣除的规则如下：</w:t>
      </w:r>
    </w:p>
    <w:tbl>
      <w:tblPr>
        <w:tblStyle w:val="16"/>
        <w:tblW w:w="8547"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23"/>
        <w:gridCol w:w="74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71" w:hRule="atLeast"/>
          <w:tblHeader/>
          <w:tblCellSpacing w:w="0" w:type="dxa"/>
          <w:jc w:val="center"/>
        </w:trPr>
        <w:tc>
          <w:tcPr>
            <w:tcW w:w="1123" w:type="dxa"/>
            <w:tcBorders>
              <w:top w:val="outset" w:color="auto" w:sz="6" w:space="0"/>
              <w:left w:val="outset" w:color="auto" w:sz="6" w:space="0"/>
              <w:bottom w:val="outset" w:color="auto" w:sz="6" w:space="0"/>
              <w:right w:val="outset" w:color="auto" w:sz="6" w:space="0"/>
            </w:tcBorders>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评标项目</w:t>
            </w:r>
          </w:p>
        </w:tc>
        <w:tc>
          <w:tcPr>
            <w:tcW w:w="7424" w:type="dxa"/>
            <w:tcBorders>
              <w:top w:val="outset" w:color="auto" w:sz="6" w:space="0"/>
              <w:left w:val="outset" w:color="auto" w:sz="6" w:space="0"/>
              <w:bottom w:val="outset" w:color="auto" w:sz="6" w:space="0"/>
              <w:right w:val="outset" w:color="auto" w:sz="6" w:space="0"/>
            </w:tcBorders>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42" w:hRule="atLeast"/>
          <w:tblCellSpacing w:w="0" w:type="dxa"/>
          <w:jc w:val="center"/>
        </w:trPr>
        <w:tc>
          <w:tcPr>
            <w:tcW w:w="1123" w:type="dxa"/>
            <w:tcBorders>
              <w:top w:val="outset" w:color="auto" w:sz="6" w:space="0"/>
              <w:left w:val="outset" w:color="auto" w:sz="6" w:space="0"/>
              <w:bottom w:val="outset" w:color="auto" w:sz="6" w:space="0"/>
              <w:right w:val="outset" w:color="auto" w:sz="6" w:space="0"/>
            </w:tcBorders>
            <w:noWrap/>
            <w:vAlign w:val="center"/>
          </w:tcPr>
          <w:p>
            <w:pPr>
              <w:widowControl/>
              <w:jc w:val="left"/>
              <w:rPr>
                <w:rFonts w:ascii="宋体" w:hAnsi="宋体" w:eastAsia="宋体" w:cs="宋体"/>
                <w:color w:val="000000"/>
                <w:sz w:val="24"/>
              </w:rPr>
            </w:pPr>
            <w:r>
              <w:rPr>
                <w:rFonts w:hint="eastAsia" w:ascii="宋体" w:hAnsi="宋体" w:eastAsia="宋体" w:cs="宋体"/>
                <w:color w:val="000000"/>
                <w:kern w:val="0"/>
                <w:sz w:val="24"/>
              </w:rPr>
              <w:t>小型、微型企业，监狱企业，残疾人</w:t>
            </w:r>
          </w:p>
        </w:tc>
        <w:tc>
          <w:tcPr>
            <w:tcW w:w="7424" w:type="dxa"/>
            <w:tcBorders>
              <w:top w:val="outset" w:color="auto" w:sz="6" w:space="0"/>
              <w:left w:val="outset" w:color="auto" w:sz="6" w:space="0"/>
              <w:bottom w:val="outset" w:color="auto" w:sz="6" w:space="0"/>
              <w:right w:val="outset" w:color="auto" w:sz="6" w:space="0"/>
            </w:tcBorders>
            <w:noWrap/>
            <w:vAlign w:val="center"/>
          </w:tcPr>
          <w:p>
            <w:pPr>
              <w:widowControl/>
              <w:jc w:val="left"/>
              <w:rPr>
                <w:rFonts w:ascii="宋体" w:hAnsi="宋体" w:eastAsia="宋体" w:cs="宋体"/>
                <w:color w:val="000000"/>
                <w:sz w:val="24"/>
              </w:rPr>
            </w:pPr>
            <w:r>
              <w:rPr>
                <w:rStyle w:val="19"/>
                <w:rFonts w:hint="eastAsia" w:ascii="宋体" w:hAnsi="宋体" w:eastAsia="宋体" w:cs="宋体"/>
                <w:color w:val="000000"/>
                <w:kern w:val="0"/>
                <w:sz w:val="24"/>
              </w:rPr>
              <w:t>(</w:t>
            </w:r>
            <w:r>
              <w:rPr>
                <w:rStyle w:val="19"/>
                <w:rFonts w:hint="eastAsia" w:ascii="宋体" w:hAnsi="宋体" w:eastAsia="宋体" w:cs="宋体"/>
                <w:b w:val="0"/>
                <w:bCs/>
                <w:color w:val="000000"/>
                <w:kern w:val="0"/>
                <w:sz w:val="24"/>
              </w:rPr>
              <w:t>一)《政府采购促进中小企业发展暂行办法》价格的扣除： 1、根据财政部、工信部印发的《政府采购促进中小企业发展暂行办法》财库〔2011〕181号，本办法所称中小企业(含中型、小型、微型企业，下同)应当同时符合以下条件： (1)符合中小企业划分标准； (2)提供本企业制造的货物、承担的工程或者服务，或者提供其他中小企业制造的货物。本项所称货物不包括使用大型企业注册商标的货物。 本办法所称中小企业划分标准，是指国务院有关部门根据企业从业人员、营业收入、资产总额等指标制定的中小企业划型标准。小型、微型企业提供中型企业制造的货物的，视同为中型企业。 2、本项目为非专门面向中小企业的项目，对小型和微型企业产品的价格给予6%的扣除，用扣除后的价格参与评审。残疾人集中就业企业、监狱企业视同小型和微型企业，享受评审中价格扣除的政府采购政策。 3、参加政府采购活动的中小企业应当提供《政府采购促进中小企业发展暂行办法》规定的《中小企业声明函》(见第七章投标文件格式)。 4、政府采购对中小企业的认定，由企业所在地的县级以上中小企业主管部门负责。须提供中小企业主管部门的证明函，否则不予价格扣除。 5、监狱企业参加政府采购活动时，应当提供由省级以上监狱管理局、戒毒管理局(含新疆生产建设兵团)出具的属于监狱企业的证明文件，否则不予价格扣除。 注：投标人在报价时必须对提供本企业制造的货物、承担的工程或者服务，或者提供其他中小企业制造的货物单独在小型、微型企业产品统计表中填写，并提供相关证明资料复印件附在报价部分(电子证明资料应上传在对应评分模块)且加盖投标人公章。未单独分项报价或未按规定提供相关证明资料的不给予价格扣除。评标委员会审查此项响应性只根据投标文件本身的内容，而不寻求其他的外部证据。 (二) 《三部门联合发布关于促进残疾人就业政府采购政策的通知》价格的扣除： 1、根据财政部、民政部、中国残疾人联合会印发的《三部门联合发布关于促进残疾人就业政府采购政策的通知》财库〔2017〕141号，依照《政府采购法》、《残疾人保障法》等法律法规及相关规定，享受政府采购支持政策的残疾人福利性单位应当同时满足以下条件： (1)安置的残疾人占本单位在职职工人数的比例不低于25%(含25%)，并且安置的残疾人人数不少于10人(含10人)；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(4)通过银行等金融机构向安置的每位残疾人，按月支付了不低于单位所在区县适用的经省级人民政府批准的月最低工资标准的工资； (5)提供本单位制造的货物、承担的工程或者服务(以下简称产品)，或者提供其他残疾人福利性单位制造的货物(不包括使用非残疾人福利性单位注册商标的货物)。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见第七章投标文件格式)，并对声明的真实性负责。 3、在政府采购活动中，残疾人福利性单位视同小型、微型企业，享受“《政府采购促进中小企业发展暂行办法》价格的扣除”的政府采购政策。残疾人福利性单位属于小型、微型企业的，不重复享受政策。 注：根据《财政部 民政部 中国残疾人联合会关于促进残疾人就业政府采购政策的通知》(财库〔2017〕 141号)的规定，中标供 应商为残疾人福利性单位的，采购代 理机构将随中标结果同时公告其《残疾人福利性单位声明函》，接受社会监督。供 应商提供的《残疾人福利性单位声明函》与事实不符的，将依照《政府采购法》第七十七条第一款的规定被追究法律责任。</w:t>
            </w:r>
          </w:p>
        </w:tc>
      </w:tr>
    </w:tbl>
    <w:p>
      <w:pPr>
        <w:spacing w:line="360" w:lineRule="auto"/>
        <w:outlineLvl w:val="0"/>
        <w:rPr>
          <w:rFonts w:hint="eastAsia"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②</w:t>
      </w:r>
      <w:r>
        <w:rPr>
          <w:rFonts w:ascii="宋体" w:hAnsi="宋体" w:eastAsia="宋体" w:cs="宋体"/>
          <w:b/>
          <w:bCs/>
          <w:color w:val="000000" w:themeColor="text1"/>
          <w:kern w:val="0"/>
          <w:sz w:val="24"/>
          <w:szCs w:val="24"/>
        </w:rPr>
        <w:t>技术项（</w:t>
      </w:r>
      <w:r>
        <w:rPr>
          <w:rFonts w:ascii="Calibri" w:hAnsi="Calibri" w:eastAsia="宋体" w:cs="宋体"/>
          <w:b/>
          <w:bCs/>
          <w:color w:val="000000" w:themeColor="text1"/>
          <w:kern w:val="0"/>
          <w:sz w:val="24"/>
          <w:szCs w:val="24"/>
        </w:rPr>
        <w:t>F2</w:t>
      </w:r>
      <w:r>
        <w:rPr>
          <w:rFonts w:ascii="宋体" w:hAnsi="宋体" w:eastAsia="宋体" w:cs="宋体"/>
          <w:b/>
          <w:bCs/>
          <w:color w:val="000000" w:themeColor="text1"/>
          <w:kern w:val="0"/>
          <w:sz w:val="24"/>
          <w:szCs w:val="24"/>
        </w:rPr>
        <w:t>×</w:t>
      </w:r>
      <w:r>
        <w:rPr>
          <w:rFonts w:ascii="Calibri" w:hAnsi="Calibri" w:eastAsia="宋体" w:cs="宋体"/>
          <w:b/>
          <w:bCs/>
          <w:color w:val="000000" w:themeColor="text1"/>
          <w:kern w:val="0"/>
          <w:sz w:val="24"/>
          <w:szCs w:val="24"/>
        </w:rPr>
        <w:t>A2</w:t>
      </w:r>
      <w:r>
        <w:rPr>
          <w:rFonts w:ascii="宋体" w:hAnsi="宋体" w:eastAsia="宋体" w:cs="宋体"/>
          <w:b/>
          <w:bCs/>
          <w:color w:val="000000" w:themeColor="text1"/>
          <w:kern w:val="0"/>
          <w:sz w:val="24"/>
          <w:szCs w:val="24"/>
        </w:rPr>
        <w:t>）满分为</w:t>
      </w:r>
      <w:r>
        <w:rPr>
          <w:rFonts w:hint="eastAsia" w:ascii="宋体" w:hAnsi="宋体" w:eastAsia="宋体" w:cs="宋体"/>
          <w:b/>
          <w:bCs/>
          <w:color w:val="000000" w:themeColor="text1"/>
          <w:kern w:val="0"/>
          <w:sz w:val="24"/>
          <w:szCs w:val="24"/>
          <w:u w:val="single"/>
        </w:rPr>
        <w:t>5</w:t>
      </w:r>
      <w:r>
        <w:rPr>
          <w:rFonts w:ascii="宋体" w:hAnsi="宋体" w:eastAsia="宋体" w:cs="宋体"/>
          <w:b/>
          <w:bCs/>
          <w:color w:val="000000" w:themeColor="text1"/>
          <w:kern w:val="0"/>
          <w:sz w:val="24"/>
          <w:szCs w:val="24"/>
          <w:u w:val="single"/>
        </w:rPr>
        <w:t>5</w:t>
      </w:r>
      <w:r>
        <w:rPr>
          <w:rFonts w:ascii="宋体" w:hAnsi="宋体" w:eastAsia="宋体" w:cs="宋体"/>
          <w:b/>
          <w:bCs/>
          <w:color w:val="000000" w:themeColor="text1"/>
          <w:kern w:val="0"/>
          <w:sz w:val="24"/>
          <w:szCs w:val="24"/>
        </w:rPr>
        <w:t>分。</w:t>
      </w:r>
    </w:p>
    <w:tbl>
      <w:tblPr>
        <w:tblStyle w:val="16"/>
        <w:tblW w:w="8662"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23"/>
        <w:gridCol w:w="635"/>
        <w:gridCol w:w="68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22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b/>
                <w:kern w:val="0"/>
                <w:sz w:val="24"/>
              </w:rPr>
            </w:pPr>
            <w:r>
              <w:rPr>
                <w:rFonts w:ascii="宋体" w:hAnsi="宋体" w:cs="宋体"/>
                <w:b/>
                <w:kern w:val="0"/>
                <w:sz w:val="24"/>
              </w:rPr>
              <w:t>评标项目</w:t>
            </w:r>
          </w:p>
        </w:tc>
        <w:tc>
          <w:tcPr>
            <w:tcW w:w="63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b/>
                <w:kern w:val="0"/>
                <w:sz w:val="24"/>
              </w:rPr>
            </w:pPr>
            <w:r>
              <w:rPr>
                <w:rFonts w:ascii="宋体" w:hAnsi="宋体" w:cs="宋体"/>
                <w:b/>
                <w:kern w:val="0"/>
                <w:sz w:val="24"/>
              </w:rPr>
              <w:t>评标分值</w:t>
            </w:r>
          </w:p>
        </w:tc>
        <w:tc>
          <w:tcPr>
            <w:tcW w:w="6804"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b/>
                <w:kern w:val="0"/>
                <w:sz w:val="24"/>
              </w:rPr>
            </w:pPr>
            <w:r>
              <w:rPr>
                <w:rFonts w:ascii="宋体" w:hAnsi="宋体" w:cs="宋体"/>
                <w:b/>
                <w:kern w:val="0"/>
                <w:sz w:val="24"/>
              </w:rPr>
              <w:t>评标方法描述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22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1.</w:t>
            </w:r>
            <w:r>
              <w:rPr>
                <w:rFonts w:ascii="宋体" w:hAnsi="宋体" w:cs="宋体"/>
                <w:color w:val="000000" w:themeColor="text1"/>
                <w:kern w:val="0"/>
                <w:sz w:val="24"/>
              </w:rPr>
              <w:t>技术和服务要求</w:t>
            </w:r>
          </w:p>
        </w:tc>
        <w:tc>
          <w:tcPr>
            <w:tcW w:w="63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37</w:t>
            </w:r>
          </w:p>
        </w:tc>
        <w:tc>
          <w:tcPr>
            <w:tcW w:w="6804"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根据各投标人所投货物对《招标内容及要求》工程量清单中“主要设备技术参数”的满足情况进行评分，完全满足招标文件要求的得37分，不满足的每项扣1分，扣完为止。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blCellSpacing w:w="0" w:type="dxa"/>
        </w:trPr>
        <w:tc>
          <w:tcPr>
            <w:tcW w:w="1223" w:type="dxa"/>
            <w:vMerge w:val="restart"/>
            <w:tcBorders>
              <w:top w:val="outset" w:color="auto" w:sz="6" w:space="0"/>
              <w:left w:val="outset" w:color="auto" w:sz="6" w:space="0"/>
              <w:right w:val="outset" w:color="auto" w:sz="6" w:space="0"/>
            </w:tcBorders>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2</w:t>
            </w:r>
            <w:r>
              <w:rPr>
                <w:rFonts w:ascii="宋体" w:hAnsi="宋体" w:cs="宋体"/>
                <w:color w:val="000000" w:themeColor="text1"/>
                <w:kern w:val="0"/>
                <w:sz w:val="24"/>
              </w:rPr>
              <w:t>.</w:t>
            </w:r>
            <w:r>
              <w:rPr>
                <w:rFonts w:hint="eastAsia" w:ascii="宋体" w:hAnsi="宋体" w:cs="宋体"/>
                <w:color w:val="000000" w:themeColor="text1"/>
                <w:kern w:val="0"/>
                <w:sz w:val="24"/>
              </w:rPr>
              <w:t>200万像素室内红外网络半球摄像机</w:t>
            </w:r>
          </w:p>
        </w:tc>
        <w:tc>
          <w:tcPr>
            <w:tcW w:w="635" w:type="dxa"/>
            <w:vMerge w:val="restart"/>
            <w:tcBorders>
              <w:top w:val="outset" w:color="auto" w:sz="6" w:space="0"/>
              <w:left w:val="outset" w:color="auto" w:sz="6" w:space="0"/>
              <w:right w:val="outset" w:color="auto" w:sz="6" w:space="0"/>
            </w:tcBorders>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3</w:t>
            </w:r>
          </w:p>
        </w:tc>
        <w:tc>
          <w:tcPr>
            <w:tcW w:w="6804"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1.支持MAC地址访问控制功能，可添加100个MAC地址。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1" w:hRule="atLeast"/>
          <w:tblCellSpacing w:w="0" w:type="dxa"/>
        </w:trPr>
        <w:tc>
          <w:tcPr>
            <w:tcW w:w="1223" w:type="dxa"/>
            <w:vMerge w:val="continue"/>
            <w:tcBorders>
              <w:left w:val="outset" w:color="auto" w:sz="6" w:space="0"/>
              <w:right w:val="outset" w:color="auto" w:sz="6" w:space="0"/>
            </w:tcBorders>
            <w:vAlign w:val="center"/>
          </w:tcPr>
          <w:p>
            <w:pPr>
              <w:widowControl/>
              <w:jc w:val="left"/>
              <w:rPr>
                <w:rFonts w:ascii="宋体" w:hAnsi="宋体" w:cs="宋体"/>
                <w:color w:val="000000" w:themeColor="text1"/>
                <w:kern w:val="0"/>
                <w:sz w:val="24"/>
              </w:rPr>
            </w:pPr>
          </w:p>
        </w:tc>
        <w:tc>
          <w:tcPr>
            <w:tcW w:w="635" w:type="dxa"/>
            <w:vMerge w:val="continue"/>
            <w:tcBorders>
              <w:left w:val="outset" w:color="auto" w:sz="6" w:space="0"/>
              <w:right w:val="outset" w:color="auto" w:sz="6" w:space="0"/>
            </w:tcBorders>
            <w:vAlign w:val="center"/>
          </w:tcPr>
          <w:p>
            <w:pPr>
              <w:widowControl/>
              <w:jc w:val="center"/>
              <w:rPr>
                <w:rFonts w:ascii="宋体" w:hAnsi="宋体" w:cs="宋体"/>
                <w:color w:val="000000" w:themeColor="text1"/>
                <w:kern w:val="0"/>
                <w:sz w:val="24"/>
              </w:rPr>
            </w:pPr>
          </w:p>
        </w:tc>
        <w:tc>
          <w:tcPr>
            <w:tcW w:w="6804"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2.设备辐射骚扰限值应符合GB/T 9254-2008中等级B的规定;动态范围不小于120dB</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1" w:hRule="atLeast"/>
          <w:tblCellSpacing w:w="0" w:type="dxa"/>
        </w:trPr>
        <w:tc>
          <w:tcPr>
            <w:tcW w:w="1223" w:type="dxa"/>
            <w:vMerge w:val="continue"/>
            <w:tcBorders>
              <w:left w:val="outset" w:color="auto" w:sz="6" w:space="0"/>
              <w:right w:val="outset" w:color="auto" w:sz="6" w:space="0"/>
            </w:tcBorders>
            <w:vAlign w:val="center"/>
          </w:tcPr>
          <w:p>
            <w:pPr>
              <w:widowControl/>
              <w:jc w:val="left"/>
              <w:rPr>
                <w:rFonts w:ascii="宋体" w:hAnsi="宋体" w:cs="宋体"/>
                <w:color w:val="000000" w:themeColor="text1"/>
                <w:kern w:val="0"/>
                <w:sz w:val="24"/>
              </w:rPr>
            </w:pPr>
          </w:p>
        </w:tc>
        <w:tc>
          <w:tcPr>
            <w:tcW w:w="635" w:type="dxa"/>
            <w:vMerge w:val="continue"/>
            <w:tcBorders>
              <w:left w:val="outset" w:color="auto" w:sz="6" w:space="0"/>
              <w:right w:val="outset" w:color="auto" w:sz="6" w:space="0"/>
            </w:tcBorders>
            <w:vAlign w:val="center"/>
          </w:tcPr>
          <w:p>
            <w:pPr>
              <w:widowControl/>
              <w:jc w:val="center"/>
              <w:rPr>
                <w:rFonts w:ascii="宋体" w:hAnsi="宋体" w:cs="宋体"/>
                <w:color w:val="000000" w:themeColor="text1"/>
                <w:kern w:val="0"/>
                <w:sz w:val="24"/>
              </w:rPr>
            </w:pPr>
          </w:p>
        </w:tc>
        <w:tc>
          <w:tcPr>
            <w:tcW w:w="6804"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3.当供电电压低于8.5V或高于19V时，摄像机可在客户端软件给出报警提示或播放报警提示音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1" w:hRule="atLeast"/>
          <w:tblCellSpacing w:w="0" w:type="dxa"/>
        </w:trPr>
        <w:tc>
          <w:tcPr>
            <w:tcW w:w="1223" w:type="dxa"/>
            <w:vMerge w:val="continue"/>
            <w:tcBorders>
              <w:left w:val="outset" w:color="auto" w:sz="6" w:space="0"/>
              <w:bottom w:val="outset" w:color="auto" w:sz="6" w:space="0"/>
              <w:right w:val="outset" w:color="auto" w:sz="6" w:space="0"/>
            </w:tcBorders>
            <w:vAlign w:val="center"/>
          </w:tcPr>
          <w:p>
            <w:pPr>
              <w:widowControl/>
              <w:jc w:val="left"/>
              <w:rPr>
                <w:rFonts w:ascii="宋体" w:hAnsi="宋体" w:cs="宋体"/>
                <w:color w:val="000000" w:themeColor="text1"/>
                <w:kern w:val="0"/>
                <w:sz w:val="24"/>
              </w:rPr>
            </w:pPr>
          </w:p>
        </w:tc>
        <w:tc>
          <w:tcPr>
            <w:tcW w:w="635" w:type="dxa"/>
            <w:vMerge w:val="continue"/>
            <w:tcBorders>
              <w:left w:val="outset" w:color="auto" w:sz="6" w:space="0"/>
              <w:bottom w:val="outset" w:color="auto" w:sz="6" w:space="0"/>
              <w:right w:val="outset" w:color="auto" w:sz="6" w:space="0"/>
            </w:tcBorders>
            <w:vAlign w:val="center"/>
          </w:tcPr>
          <w:p>
            <w:pPr>
              <w:widowControl/>
              <w:jc w:val="center"/>
              <w:rPr>
                <w:rFonts w:ascii="宋体" w:hAnsi="宋体" w:cs="宋体"/>
                <w:color w:val="000000" w:themeColor="text1"/>
                <w:kern w:val="0"/>
                <w:sz w:val="24"/>
              </w:rPr>
            </w:pPr>
          </w:p>
        </w:tc>
        <w:tc>
          <w:tcPr>
            <w:tcW w:w="6804"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投标人提供设备全部满足以上3条参数要求的得3分，满足2条的得2分，满足1条的得1分，其余不得分。（需提供招标公告发布前生效的首页具有CMA、CNAS认证标识的有效检测报告复印件加盖投标人公章和原厂产品彩页作为依据，否则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4" w:hRule="atLeast"/>
          <w:tblCellSpacing w:w="0" w:type="dxa"/>
        </w:trPr>
        <w:tc>
          <w:tcPr>
            <w:tcW w:w="1223" w:type="dxa"/>
            <w:vMerge w:val="restart"/>
            <w:tcBorders>
              <w:top w:val="outset" w:color="auto" w:sz="6" w:space="0"/>
              <w:left w:val="outset" w:color="auto" w:sz="6" w:space="0"/>
              <w:right w:val="outset" w:color="auto" w:sz="6" w:space="0"/>
            </w:tcBorders>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3</w:t>
            </w:r>
            <w:r>
              <w:rPr>
                <w:rFonts w:ascii="宋体" w:hAnsi="宋体" w:cs="宋体"/>
                <w:color w:val="000000" w:themeColor="text1"/>
                <w:kern w:val="0"/>
                <w:sz w:val="24"/>
              </w:rPr>
              <w:t>.</w:t>
            </w:r>
            <w:r>
              <w:rPr>
                <w:rFonts w:hint="eastAsia" w:ascii="宋体" w:hAnsi="宋体" w:cs="宋体"/>
                <w:color w:val="000000" w:themeColor="text1"/>
                <w:kern w:val="0"/>
                <w:sz w:val="24"/>
              </w:rPr>
              <w:t>200万像素快球摄像机</w:t>
            </w:r>
          </w:p>
        </w:tc>
        <w:tc>
          <w:tcPr>
            <w:tcW w:w="635" w:type="dxa"/>
            <w:vMerge w:val="restart"/>
            <w:tcBorders>
              <w:top w:val="outset" w:color="auto" w:sz="6" w:space="0"/>
              <w:left w:val="outset" w:color="auto" w:sz="6" w:space="0"/>
              <w:right w:val="outset" w:color="auto" w:sz="6" w:space="0"/>
            </w:tcBorders>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3</w:t>
            </w:r>
          </w:p>
        </w:tc>
        <w:tc>
          <w:tcPr>
            <w:tcW w:w="6804"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1.细节摄像机云台定位准确度小于等于0.02°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2" w:hRule="atLeast"/>
          <w:tblCellSpacing w:w="0" w:type="dxa"/>
        </w:trPr>
        <w:tc>
          <w:tcPr>
            <w:tcW w:w="1223" w:type="dxa"/>
            <w:vMerge w:val="continue"/>
            <w:tcBorders>
              <w:left w:val="outset" w:color="auto" w:sz="6" w:space="0"/>
              <w:right w:val="outset" w:color="auto" w:sz="6" w:space="0"/>
            </w:tcBorders>
            <w:vAlign w:val="center"/>
          </w:tcPr>
          <w:p>
            <w:pPr>
              <w:widowControl/>
              <w:jc w:val="left"/>
              <w:rPr>
                <w:rFonts w:ascii="宋体" w:hAnsi="宋体" w:cs="宋体"/>
                <w:color w:val="000000" w:themeColor="text1"/>
                <w:kern w:val="0"/>
                <w:sz w:val="24"/>
              </w:rPr>
            </w:pPr>
          </w:p>
        </w:tc>
        <w:tc>
          <w:tcPr>
            <w:tcW w:w="635" w:type="dxa"/>
            <w:vMerge w:val="continue"/>
            <w:tcBorders>
              <w:left w:val="outset" w:color="auto" w:sz="6" w:space="0"/>
              <w:right w:val="outset" w:color="auto" w:sz="6" w:space="0"/>
            </w:tcBorders>
            <w:vAlign w:val="center"/>
          </w:tcPr>
          <w:p>
            <w:pPr>
              <w:widowControl/>
              <w:jc w:val="center"/>
              <w:rPr>
                <w:rFonts w:ascii="宋体" w:hAnsi="宋体" w:cs="宋体"/>
                <w:color w:val="000000" w:themeColor="text1"/>
                <w:kern w:val="0"/>
                <w:sz w:val="24"/>
              </w:rPr>
            </w:pPr>
          </w:p>
        </w:tc>
        <w:tc>
          <w:tcPr>
            <w:tcW w:w="6804"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2.支持最低照度：彩色：≤0.005lux 黑白：≤0.0005lux；最大补光距离：红外≥150米。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2" w:hRule="atLeast"/>
          <w:tblCellSpacing w:w="0" w:type="dxa"/>
        </w:trPr>
        <w:tc>
          <w:tcPr>
            <w:tcW w:w="1223" w:type="dxa"/>
            <w:vMerge w:val="continue"/>
            <w:tcBorders>
              <w:left w:val="outset" w:color="auto" w:sz="6" w:space="0"/>
              <w:right w:val="outset" w:color="auto" w:sz="6" w:space="0"/>
            </w:tcBorders>
            <w:vAlign w:val="center"/>
          </w:tcPr>
          <w:p>
            <w:pPr>
              <w:widowControl/>
              <w:jc w:val="left"/>
              <w:rPr>
                <w:rFonts w:ascii="宋体" w:hAnsi="宋体" w:cs="宋体"/>
                <w:color w:val="000000" w:themeColor="text1"/>
                <w:kern w:val="0"/>
                <w:sz w:val="24"/>
              </w:rPr>
            </w:pPr>
          </w:p>
        </w:tc>
        <w:tc>
          <w:tcPr>
            <w:tcW w:w="635" w:type="dxa"/>
            <w:vMerge w:val="continue"/>
            <w:tcBorders>
              <w:left w:val="outset" w:color="auto" w:sz="6" w:space="0"/>
              <w:right w:val="outset" w:color="auto" w:sz="6" w:space="0"/>
            </w:tcBorders>
            <w:vAlign w:val="center"/>
          </w:tcPr>
          <w:p>
            <w:pPr>
              <w:widowControl/>
              <w:jc w:val="center"/>
              <w:rPr>
                <w:rFonts w:ascii="宋体" w:hAnsi="宋体" w:cs="宋体"/>
                <w:color w:val="000000" w:themeColor="text1"/>
                <w:kern w:val="0"/>
                <w:sz w:val="24"/>
              </w:rPr>
            </w:pPr>
          </w:p>
        </w:tc>
        <w:tc>
          <w:tcPr>
            <w:tcW w:w="6804"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3.抓拍距离检验：可识别距样机250m处的人体的轮廓并抓拍人体图片，抓拍图片分辨率不小于110×120；可识别距样机≥300m处的车牌并抓拍车牌图片和机动车图片，并将机动车图和车牌图关联存储。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2" w:hRule="atLeast"/>
          <w:tblCellSpacing w:w="0" w:type="dxa"/>
        </w:trPr>
        <w:tc>
          <w:tcPr>
            <w:tcW w:w="1223" w:type="dxa"/>
            <w:vMerge w:val="continue"/>
            <w:tcBorders>
              <w:left w:val="outset" w:color="auto" w:sz="6" w:space="0"/>
              <w:bottom w:val="outset" w:color="auto" w:sz="6" w:space="0"/>
              <w:right w:val="outset" w:color="auto" w:sz="6" w:space="0"/>
            </w:tcBorders>
            <w:vAlign w:val="center"/>
          </w:tcPr>
          <w:p>
            <w:pPr>
              <w:widowControl/>
              <w:jc w:val="left"/>
              <w:rPr>
                <w:rFonts w:ascii="宋体" w:hAnsi="宋体" w:cs="宋体"/>
                <w:color w:val="000000" w:themeColor="text1"/>
                <w:kern w:val="0"/>
                <w:sz w:val="24"/>
              </w:rPr>
            </w:pPr>
          </w:p>
        </w:tc>
        <w:tc>
          <w:tcPr>
            <w:tcW w:w="635" w:type="dxa"/>
            <w:vMerge w:val="continue"/>
            <w:tcBorders>
              <w:left w:val="outset" w:color="auto" w:sz="6" w:space="0"/>
              <w:bottom w:val="outset" w:color="auto" w:sz="6" w:space="0"/>
              <w:right w:val="outset" w:color="auto" w:sz="6" w:space="0"/>
            </w:tcBorders>
            <w:vAlign w:val="center"/>
          </w:tcPr>
          <w:p>
            <w:pPr>
              <w:widowControl/>
              <w:jc w:val="center"/>
              <w:rPr>
                <w:rFonts w:ascii="宋体" w:hAnsi="宋体" w:cs="宋体"/>
                <w:color w:val="000000" w:themeColor="text1"/>
                <w:kern w:val="0"/>
                <w:sz w:val="24"/>
              </w:rPr>
            </w:pPr>
          </w:p>
        </w:tc>
        <w:tc>
          <w:tcPr>
            <w:tcW w:w="6804"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投标人提供设备全部满足以上3条参数要求的得3分，满足2条的得2分，满足1条的得1分，其余不得分。（需提供招标公告发布前生效的首页具有CMA、CNAS认证标识的有效检测报告复印件加盖投标人公章和原厂产品彩页作为依据，否则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9" w:hRule="atLeast"/>
          <w:tblCellSpacing w:w="0" w:type="dxa"/>
        </w:trPr>
        <w:tc>
          <w:tcPr>
            <w:tcW w:w="1223" w:type="dxa"/>
            <w:vMerge w:val="restart"/>
            <w:tcBorders>
              <w:top w:val="outset" w:color="auto" w:sz="6" w:space="0"/>
              <w:left w:val="outset" w:color="auto" w:sz="6" w:space="0"/>
              <w:right w:val="outset" w:color="auto" w:sz="6" w:space="0"/>
            </w:tcBorders>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4.客流摄像机</w:t>
            </w:r>
          </w:p>
        </w:tc>
        <w:tc>
          <w:tcPr>
            <w:tcW w:w="635" w:type="dxa"/>
            <w:vMerge w:val="restart"/>
            <w:tcBorders>
              <w:top w:val="outset" w:color="auto" w:sz="6" w:space="0"/>
              <w:left w:val="outset" w:color="auto" w:sz="6" w:space="0"/>
              <w:right w:val="outset" w:color="auto" w:sz="6" w:space="0"/>
            </w:tcBorders>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3</w:t>
            </w:r>
          </w:p>
        </w:tc>
        <w:tc>
          <w:tcPr>
            <w:tcW w:w="6804"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1.可对设定区域内的运动目标在设定时间内持续跟踪，使该目标处于监视画面中，支持自动调节变倍，可对该目标抓拍图片，并可收到切换跟踪目标;客流量统计准确率不小于98%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52" w:hRule="atLeast"/>
          <w:tblCellSpacing w:w="0" w:type="dxa"/>
        </w:trPr>
        <w:tc>
          <w:tcPr>
            <w:tcW w:w="1223" w:type="dxa"/>
            <w:vMerge w:val="continue"/>
            <w:tcBorders>
              <w:left w:val="outset" w:color="auto" w:sz="6" w:space="0"/>
              <w:right w:val="outset" w:color="auto" w:sz="6" w:space="0"/>
            </w:tcBorders>
            <w:vAlign w:val="center"/>
          </w:tcPr>
          <w:p>
            <w:pPr>
              <w:widowControl/>
              <w:jc w:val="left"/>
              <w:rPr>
                <w:rFonts w:ascii="宋体" w:hAnsi="宋体" w:cs="宋体"/>
                <w:color w:val="000000" w:themeColor="text1"/>
                <w:kern w:val="0"/>
                <w:sz w:val="24"/>
              </w:rPr>
            </w:pPr>
          </w:p>
        </w:tc>
        <w:tc>
          <w:tcPr>
            <w:tcW w:w="635" w:type="dxa"/>
            <w:vMerge w:val="continue"/>
            <w:tcBorders>
              <w:left w:val="outset" w:color="auto" w:sz="6" w:space="0"/>
              <w:right w:val="outset" w:color="auto" w:sz="6" w:space="0"/>
            </w:tcBorders>
            <w:vAlign w:val="center"/>
          </w:tcPr>
          <w:p>
            <w:pPr>
              <w:widowControl/>
              <w:jc w:val="center"/>
              <w:rPr>
                <w:rFonts w:ascii="宋体" w:hAnsi="宋体" w:cs="宋体"/>
                <w:color w:val="000000" w:themeColor="text1"/>
                <w:kern w:val="0"/>
                <w:sz w:val="24"/>
              </w:rPr>
            </w:pPr>
          </w:p>
        </w:tc>
        <w:tc>
          <w:tcPr>
            <w:tcW w:w="6804"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2.可通过IE浏览器以4画面或≥5画面方式浏览视频图像，第一幅画面为全景图像，其余画面为第一幅画面中框选区域的图像，框选区域的图像可通过鼠标来实现电子放大缩小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69" w:hRule="atLeast"/>
          <w:tblCellSpacing w:w="0" w:type="dxa"/>
        </w:trPr>
        <w:tc>
          <w:tcPr>
            <w:tcW w:w="1223" w:type="dxa"/>
            <w:vMerge w:val="continue"/>
            <w:tcBorders>
              <w:left w:val="outset" w:color="auto" w:sz="6" w:space="0"/>
              <w:right w:val="outset" w:color="auto" w:sz="6" w:space="0"/>
            </w:tcBorders>
            <w:vAlign w:val="center"/>
          </w:tcPr>
          <w:p>
            <w:pPr>
              <w:widowControl/>
              <w:jc w:val="left"/>
              <w:rPr>
                <w:rFonts w:ascii="宋体" w:hAnsi="宋体" w:cs="宋体"/>
                <w:color w:val="000000" w:themeColor="text1"/>
                <w:kern w:val="0"/>
                <w:sz w:val="24"/>
              </w:rPr>
            </w:pPr>
          </w:p>
        </w:tc>
        <w:tc>
          <w:tcPr>
            <w:tcW w:w="635" w:type="dxa"/>
            <w:vMerge w:val="continue"/>
            <w:tcBorders>
              <w:left w:val="outset" w:color="auto" w:sz="6" w:space="0"/>
              <w:right w:val="outset" w:color="auto" w:sz="6" w:space="0"/>
            </w:tcBorders>
            <w:vAlign w:val="center"/>
          </w:tcPr>
          <w:p>
            <w:pPr>
              <w:widowControl/>
              <w:jc w:val="center"/>
              <w:rPr>
                <w:rFonts w:ascii="宋体" w:hAnsi="宋体" w:cs="宋体"/>
                <w:color w:val="000000" w:themeColor="text1"/>
                <w:kern w:val="0"/>
                <w:sz w:val="24"/>
              </w:rPr>
            </w:pPr>
          </w:p>
        </w:tc>
        <w:tc>
          <w:tcPr>
            <w:tcW w:w="6804"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3.开启AI场景自适应功能后，摄像机可根据雨、雪、 背光场景自动调整成像参数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7" w:hRule="atLeast"/>
          <w:tblCellSpacing w:w="0" w:type="dxa"/>
        </w:trPr>
        <w:tc>
          <w:tcPr>
            <w:tcW w:w="1223" w:type="dxa"/>
            <w:vMerge w:val="continue"/>
            <w:tcBorders>
              <w:left w:val="outset" w:color="auto" w:sz="6" w:space="0"/>
              <w:bottom w:val="outset" w:color="auto" w:sz="6" w:space="0"/>
              <w:right w:val="outset" w:color="auto" w:sz="6" w:space="0"/>
            </w:tcBorders>
            <w:vAlign w:val="center"/>
          </w:tcPr>
          <w:p>
            <w:pPr>
              <w:widowControl/>
              <w:jc w:val="left"/>
              <w:rPr>
                <w:rFonts w:ascii="宋体" w:hAnsi="宋体" w:cs="宋体"/>
                <w:color w:val="000000" w:themeColor="text1"/>
                <w:kern w:val="0"/>
                <w:sz w:val="24"/>
              </w:rPr>
            </w:pPr>
          </w:p>
        </w:tc>
        <w:tc>
          <w:tcPr>
            <w:tcW w:w="635" w:type="dxa"/>
            <w:vMerge w:val="continue"/>
            <w:tcBorders>
              <w:left w:val="outset" w:color="auto" w:sz="6" w:space="0"/>
              <w:bottom w:val="outset" w:color="auto" w:sz="6" w:space="0"/>
              <w:right w:val="outset" w:color="auto" w:sz="6" w:space="0"/>
            </w:tcBorders>
            <w:vAlign w:val="center"/>
          </w:tcPr>
          <w:p>
            <w:pPr>
              <w:widowControl/>
              <w:jc w:val="center"/>
              <w:rPr>
                <w:rFonts w:ascii="宋体" w:hAnsi="宋体" w:cs="宋体"/>
                <w:color w:val="000000" w:themeColor="text1"/>
                <w:kern w:val="0"/>
                <w:sz w:val="24"/>
              </w:rPr>
            </w:pPr>
          </w:p>
        </w:tc>
        <w:tc>
          <w:tcPr>
            <w:tcW w:w="6804"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投标人提供设备全部满足以上3条参数要求的得3分，满足2条的得2分，满足1条的得1分，其余不得分。（需提供招标公告发布前生效的首页具有CMA、CNAS认证标识的有效检测报告复印件加盖投标人公章和原厂产品彩页作为依据，否则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9" w:hRule="atLeast"/>
          <w:tblCellSpacing w:w="0" w:type="dxa"/>
        </w:trPr>
        <w:tc>
          <w:tcPr>
            <w:tcW w:w="1223" w:type="dxa"/>
            <w:vMerge w:val="restart"/>
            <w:tcBorders>
              <w:top w:val="outset" w:color="auto" w:sz="6" w:space="0"/>
              <w:left w:val="outset" w:color="auto" w:sz="6" w:space="0"/>
              <w:right w:val="outset" w:color="auto" w:sz="6" w:space="0"/>
            </w:tcBorders>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5</w:t>
            </w:r>
            <w:r>
              <w:rPr>
                <w:rFonts w:ascii="宋体" w:hAnsi="宋体" w:cs="宋体"/>
                <w:color w:val="000000" w:themeColor="text1"/>
                <w:kern w:val="0"/>
                <w:sz w:val="24"/>
              </w:rPr>
              <w:t>.</w:t>
            </w:r>
            <w:r>
              <w:rPr>
                <w:rFonts w:hint="eastAsia"/>
              </w:rPr>
              <w:t xml:space="preserve"> </w:t>
            </w:r>
            <w:r>
              <w:rPr>
                <w:rFonts w:hint="eastAsia" w:ascii="宋体" w:hAnsi="宋体" w:cs="宋体"/>
                <w:color w:val="000000" w:themeColor="text1"/>
                <w:kern w:val="0"/>
                <w:sz w:val="24"/>
              </w:rPr>
              <w:t>视频综合平台</w:t>
            </w:r>
          </w:p>
        </w:tc>
        <w:tc>
          <w:tcPr>
            <w:tcW w:w="635" w:type="dxa"/>
            <w:vMerge w:val="restart"/>
            <w:tcBorders>
              <w:top w:val="outset" w:color="auto" w:sz="6" w:space="0"/>
              <w:left w:val="outset" w:color="auto" w:sz="6" w:space="0"/>
              <w:right w:val="outset" w:color="auto" w:sz="6" w:space="0"/>
            </w:tcBorders>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3</w:t>
            </w:r>
          </w:p>
        </w:tc>
        <w:tc>
          <w:tcPr>
            <w:tcW w:w="6804"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1.产品应支持分辨率为1920*1080，帧率≥20帧，15Mbps的SVAC视频码流图像解码。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7" w:hRule="atLeast"/>
          <w:tblCellSpacing w:w="0" w:type="dxa"/>
        </w:trPr>
        <w:tc>
          <w:tcPr>
            <w:tcW w:w="1223" w:type="dxa"/>
            <w:vMerge w:val="continue"/>
            <w:tcBorders>
              <w:left w:val="outset" w:color="auto" w:sz="6" w:space="0"/>
              <w:right w:val="outset" w:color="auto" w:sz="6" w:space="0"/>
            </w:tcBorders>
            <w:vAlign w:val="center"/>
          </w:tcPr>
          <w:p>
            <w:pPr>
              <w:widowControl/>
              <w:jc w:val="left"/>
              <w:rPr>
                <w:rFonts w:ascii="宋体" w:hAnsi="宋体" w:cs="宋体"/>
                <w:color w:val="000000" w:themeColor="text1"/>
                <w:kern w:val="0"/>
                <w:sz w:val="24"/>
              </w:rPr>
            </w:pPr>
          </w:p>
        </w:tc>
        <w:tc>
          <w:tcPr>
            <w:tcW w:w="635" w:type="dxa"/>
            <w:vMerge w:val="continue"/>
            <w:tcBorders>
              <w:left w:val="outset" w:color="auto" w:sz="6" w:space="0"/>
              <w:right w:val="outset" w:color="auto" w:sz="6" w:space="0"/>
            </w:tcBorders>
            <w:vAlign w:val="center"/>
          </w:tcPr>
          <w:p>
            <w:pPr>
              <w:widowControl/>
              <w:jc w:val="center"/>
              <w:rPr>
                <w:rFonts w:ascii="宋体" w:hAnsi="宋体" w:cs="宋体"/>
                <w:color w:val="000000" w:themeColor="text1"/>
                <w:kern w:val="0"/>
                <w:sz w:val="24"/>
              </w:rPr>
            </w:pPr>
          </w:p>
        </w:tc>
        <w:tc>
          <w:tcPr>
            <w:tcW w:w="6804"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w:t>
            </w:r>
            <w:r>
              <w:rPr>
                <w:rFonts w:ascii="宋体" w:hAnsi="宋体" w:eastAsia="宋体" w:cs="宋体"/>
                <w:color w:val="000000" w:themeColor="text1"/>
                <w:kern w:val="0"/>
                <w:sz w:val="24"/>
              </w:rPr>
              <w:t xml:space="preserve"> </w:t>
            </w:r>
            <w:r>
              <w:rPr>
                <w:rFonts w:hint="eastAsia" w:ascii="宋体" w:hAnsi="宋体" w:eastAsia="宋体" w:cs="宋体"/>
                <w:color w:val="000000" w:themeColor="text1"/>
                <w:kern w:val="0"/>
                <w:sz w:val="24"/>
              </w:rPr>
              <w:t>支持通过网络将计算机桌面、应用窗口或自定义矩形区域投射到电视墙上，最大支持投射</w:t>
            </w:r>
            <w:r>
              <w:rPr>
                <w:rFonts w:ascii="宋体" w:hAnsi="宋体" w:eastAsia="宋体" w:cs="宋体"/>
                <w:color w:val="000000" w:themeColor="text1"/>
                <w:kern w:val="0"/>
                <w:sz w:val="24"/>
              </w:rPr>
              <w:t>3840</w:t>
            </w:r>
            <w:r>
              <w:rPr>
                <w:rFonts w:hint="eastAsia" w:ascii="宋体" w:hAnsi="宋体" w:eastAsia="宋体" w:cs="宋体"/>
                <w:color w:val="000000" w:themeColor="text1"/>
                <w:kern w:val="0"/>
                <w:sz w:val="24"/>
              </w:rPr>
              <w:t>×</w:t>
            </w:r>
            <w:r>
              <w:rPr>
                <w:rFonts w:ascii="宋体" w:hAnsi="宋体" w:eastAsia="宋体" w:cs="宋体"/>
                <w:color w:val="000000" w:themeColor="text1"/>
                <w:kern w:val="0"/>
                <w:sz w:val="24"/>
              </w:rPr>
              <w:t>2160</w:t>
            </w:r>
            <w:r>
              <w:rPr>
                <w:rFonts w:hint="eastAsia" w:ascii="宋体" w:hAnsi="宋体" w:eastAsia="宋体" w:cs="宋体"/>
                <w:color w:val="000000" w:themeColor="text1"/>
                <w:kern w:val="0"/>
                <w:sz w:val="24"/>
              </w:rPr>
              <w:t>分辨率的桌面；单台计算机最多可投射≥</w:t>
            </w:r>
            <w:r>
              <w:rPr>
                <w:rFonts w:ascii="宋体" w:hAnsi="宋体" w:eastAsia="宋体" w:cs="宋体"/>
                <w:color w:val="000000" w:themeColor="text1"/>
                <w:kern w:val="0"/>
                <w:sz w:val="24"/>
              </w:rPr>
              <w:t>7</w:t>
            </w:r>
            <w:r>
              <w:rPr>
                <w:rFonts w:hint="eastAsia" w:ascii="宋体" w:hAnsi="宋体" w:eastAsia="宋体" w:cs="宋体"/>
                <w:color w:val="000000" w:themeColor="text1"/>
                <w:kern w:val="0"/>
                <w:sz w:val="24"/>
              </w:rPr>
              <w:t>个任务窗口。</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7" w:hRule="atLeast"/>
          <w:tblCellSpacing w:w="0" w:type="dxa"/>
        </w:trPr>
        <w:tc>
          <w:tcPr>
            <w:tcW w:w="1223" w:type="dxa"/>
            <w:vMerge w:val="continue"/>
            <w:tcBorders>
              <w:left w:val="outset" w:color="auto" w:sz="6" w:space="0"/>
              <w:right w:val="outset" w:color="auto" w:sz="6" w:space="0"/>
            </w:tcBorders>
            <w:vAlign w:val="center"/>
          </w:tcPr>
          <w:p>
            <w:pPr>
              <w:widowControl/>
              <w:jc w:val="left"/>
              <w:rPr>
                <w:rFonts w:ascii="宋体" w:hAnsi="宋体" w:cs="宋体"/>
                <w:color w:val="000000" w:themeColor="text1"/>
                <w:kern w:val="0"/>
                <w:sz w:val="24"/>
              </w:rPr>
            </w:pPr>
          </w:p>
        </w:tc>
        <w:tc>
          <w:tcPr>
            <w:tcW w:w="635" w:type="dxa"/>
            <w:vMerge w:val="continue"/>
            <w:tcBorders>
              <w:left w:val="outset" w:color="auto" w:sz="6" w:space="0"/>
              <w:right w:val="outset" w:color="auto" w:sz="6" w:space="0"/>
            </w:tcBorders>
            <w:vAlign w:val="center"/>
          </w:tcPr>
          <w:p>
            <w:pPr>
              <w:widowControl/>
              <w:jc w:val="center"/>
              <w:rPr>
                <w:rFonts w:ascii="宋体" w:hAnsi="宋体" w:cs="宋体"/>
                <w:color w:val="000000" w:themeColor="text1"/>
                <w:kern w:val="0"/>
                <w:sz w:val="24"/>
              </w:rPr>
            </w:pPr>
          </w:p>
        </w:tc>
        <w:tc>
          <w:tcPr>
            <w:tcW w:w="6804"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3.单卡解码板卡提供6个HDMI 输出接口，支持音视频同步输出，其中≥3个HDMI接口最大支持分辨率为3840×2160 或4096×2160的视频输出；整机最大可支持40个3840*2160分辨率端口输出。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7" w:hRule="atLeast"/>
          <w:tblCellSpacing w:w="0" w:type="dxa"/>
        </w:trPr>
        <w:tc>
          <w:tcPr>
            <w:tcW w:w="1223" w:type="dxa"/>
            <w:vMerge w:val="continue"/>
            <w:tcBorders>
              <w:left w:val="outset" w:color="auto" w:sz="6" w:space="0"/>
              <w:bottom w:val="outset" w:color="auto" w:sz="6" w:space="0"/>
              <w:right w:val="outset" w:color="auto" w:sz="6" w:space="0"/>
            </w:tcBorders>
            <w:vAlign w:val="center"/>
          </w:tcPr>
          <w:p>
            <w:pPr>
              <w:widowControl/>
              <w:jc w:val="left"/>
              <w:rPr>
                <w:rFonts w:ascii="宋体" w:hAnsi="宋体" w:cs="宋体"/>
                <w:color w:val="000000" w:themeColor="text1"/>
                <w:kern w:val="0"/>
                <w:sz w:val="24"/>
              </w:rPr>
            </w:pPr>
          </w:p>
        </w:tc>
        <w:tc>
          <w:tcPr>
            <w:tcW w:w="635" w:type="dxa"/>
            <w:vMerge w:val="continue"/>
            <w:tcBorders>
              <w:left w:val="outset" w:color="auto" w:sz="6" w:space="0"/>
              <w:bottom w:val="outset" w:color="auto" w:sz="6" w:space="0"/>
              <w:right w:val="outset" w:color="auto" w:sz="6" w:space="0"/>
            </w:tcBorders>
            <w:vAlign w:val="center"/>
          </w:tcPr>
          <w:p>
            <w:pPr>
              <w:widowControl/>
              <w:jc w:val="center"/>
              <w:rPr>
                <w:rFonts w:ascii="宋体" w:hAnsi="宋体" w:cs="宋体"/>
                <w:color w:val="000000" w:themeColor="text1"/>
                <w:kern w:val="0"/>
                <w:sz w:val="24"/>
              </w:rPr>
            </w:pPr>
          </w:p>
        </w:tc>
        <w:tc>
          <w:tcPr>
            <w:tcW w:w="6804"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投标人提供设备全部满足以上3条参数要求的得3分，满足2条的得2分，满足1条的得1分，其余不得分。（需提供招标公告发布前生效的首页具有CMA、CNAS认证标识的有效检测报告复印件加盖投标人公章和原厂产品彩页作为依据，否则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4" w:hRule="atLeast"/>
          <w:tblCellSpacing w:w="0" w:type="dxa"/>
        </w:trPr>
        <w:tc>
          <w:tcPr>
            <w:tcW w:w="1223" w:type="dxa"/>
            <w:vMerge w:val="restart"/>
            <w:tcBorders>
              <w:top w:val="outset" w:color="auto" w:sz="6" w:space="0"/>
              <w:left w:val="outset" w:color="auto" w:sz="6" w:space="0"/>
              <w:right w:val="outset" w:color="auto" w:sz="6" w:space="0"/>
            </w:tcBorders>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6.24口汇聚交换机</w:t>
            </w:r>
          </w:p>
        </w:tc>
        <w:tc>
          <w:tcPr>
            <w:tcW w:w="635" w:type="dxa"/>
            <w:vMerge w:val="restart"/>
            <w:tcBorders>
              <w:top w:val="outset" w:color="auto" w:sz="6" w:space="0"/>
              <w:left w:val="outset" w:color="auto" w:sz="6" w:space="0"/>
              <w:right w:val="outset" w:color="auto" w:sz="6" w:space="0"/>
            </w:tcBorders>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w:t>
            </w:r>
          </w:p>
        </w:tc>
        <w:tc>
          <w:tcPr>
            <w:tcW w:w="6804"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1.24口汇聚交换机支持虚拟化功能，可将多台物理设备虚拟化为一台逻辑设备统一管理，提供官网链接及截图；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2" w:hRule="atLeast"/>
          <w:tblCellSpacing w:w="0" w:type="dxa"/>
        </w:trPr>
        <w:tc>
          <w:tcPr>
            <w:tcW w:w="1223" w:type="dxa"/>
            <w:vMerge w:val="continue"/>
            <w:tcBorders>
              <w:left w:val="outset" w:color="auto" w:sz="6" w:space="0"/>
              <w:right w:val="outset" w:color="auto" w:sz="6" w:space="0"/>
            </w:tcBorders>
            <w:vAlign w:val="center"/>
          </w:tcPr>
          <w:p>
            <w:pPr>
              <w:widowControl/>
              <w:jc w:val="left"/>
              <w:rPr>
                <w:rFonts w:ascii="宋体" w:hAnsi="宋体" w:cs="宋体"/>
                <w:color w:val="000000" w:themeColor="text1"/>
                <w:kern w:val="0"/>
                <w:sz w:val="24"/>
              </w:rPr>
            </w:pPr>
          </w:p>
        </w:tc>
        <w:tc>
          <w:tcPr>
            <w:tcW w:w="635" w:type="dxa"/>
            <w:vMerge w:val="continue"/>
            <w:tcBorders>
              <w:left w:val="outset" w:color="auto" w:sz="6" w:space="0"/>
              <w:right w:val="outset" w:color="auto" w:sz="6" w:space="0"/>
            </w:tcBorders>
            <w:vAlign w:val="center"/>
          </w:tcPr>
          <w:p>
            <w:pPr>
              <w:widowControl/>
              <w:jc w:val="center"/>
              <w:rPr>
                <w:rFonts w:ascii="宋体" w:hAnsi="宋体" w:cs="宋体"/>
                <w:color w:val="000000" w:themeColor="text1"/>
                <w:kern w:val="0"/>
                <w:sz w:val="24"/>
              </w:rPr>
            </w:pPr>
          </w:p>
        </w:tc>
        <w:tc>
          <w:tcPr>
            <w:tcW w:w="6804"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2.至少余下≥1个业务插槽，且支持配置防火墙模块，防火墙插卡获得我国权威认证机构颁发的《IT产品信息安全认证证书EAL4增强级》证书,提供证书复印件。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9" w:hRule="atLeast"/>
          <w:tblCellSpacing w:w="0" w:type="dxa"/>
        </w:trPr>
        <w:tc>
          <w:tcPr>
            <w:tcW w:w="1223" w:type="dxa"/>
            <w:vMerge w:val="continue"/>
            <w:tcBorders>
              <w:left w:val="outset" w:color="auto" w:sz="6" w:space="0"/>
              <w:right w:val="outset" w:color="auto" w:sz="6" w:space="0"/>
            </w:tcBorders>
            <w:vAlign w:val="center"/>
          </w:tcPr>
          <w:p>
            <w:pPr>
              <w:widowControl/>
              <w:jc w:val="left"/>
              <w:rPr>
                <w:rFonts w:ascii="宋体" w:hAnsi="宋体" w:cs="宋体"/>
                <w:color w:val="000000" w:themeColor="text1"/>
                <w:kern w:val="0"/>
                <w:sz w:val="24"/>
              </w:rPr>
            </w:pPr>
          </w:p>
        </w:tc>
        <w:tc>
          <w:tcPr>
            <w:tcW w:w="635" w:type="dxa"/>
            <w:vMerge w:val="continue"/>
            <w:tcBorders>
              <w:left w:val="outset" w:color="auto" w:sz="6" w:space="0"/>
              <w:right w:val="outset" w:color="auto" w:sz="6" w:space="0"/>
            </w:tcBorders>
            <w:vAlign w:val="center"/>
          </w:tcPr>
          <w:p>
            <w:pPr>
              <w:widowControl/>
              <w:jc w:val="center"/>
              <w:rPr>
                <w:rFonts w:ascii="宋体" w:hAnsi="宋体" w:cs="宋体"/>
                <w:color w:val="000000" w:themeColor="text1"/>
                <w:kern w:val="0"/>
                <w:sz w:val="24"/>
              </w:rPr>
            </w:pPr>
          </w:p>
        </w:tc>
        <w:tc>
          <w:tcPr>
            <w:tcW w:w="6804" w:type="dxa"/>
            <w:tcBorders>
              <w:top w:val="outset" w:color="auto" w:sz="6" w:space="0"/>
              <w:left w:val="outset" w:color="auto" w:sz="6" w:space="0"/>
              <w:right w:val="outset" w:color="auto" w:sz="6" w:space="0"/>
            </w:tcBorders>
            <w:vAlign w:val="center"/>
          </w:tcPr>
          <w:p>
            <w:pP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投标人提供设备全部满足以上2条参数要求的得2分，满足1条的得1分，其余不得分。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trPr>
        <w:tc>
          <w:tcPr>
            <w:tcW w:w="1223" w:type="dxa"/>
            <w:vMerge w:val="restart"/>
            <w:tcBorders>
              <w:top w:val="outset" w:color="auto" w:sz="6" w:space="0"/>
              <w:left w:val="outset" w:color="auto" w:sz="6" w:space="0"/>
              <w:right w:val="outset" w:color="auto" w:sz="6" w:space="0"/>
            </w:tcBorders>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7.核心交换机</w:t>
            </w:r>
          </w:p>
        </w:tc>
        <w:tc>
          <w:tcPr>
            <w:tcW w:w="635" w:type="dxa"/>
            <w:vMerge w:val="restart"/>
            <w:tcBorders>
              <w:top w:val="outset" w:color="auto" w:sz="6" w:space="0"/>
              <w:left w:val="outset" w:color="auto" w:sz="6" w:space="0"/>
              <w:right w:val="outset" w:color="auto" w:sz="6" w:space="0"/>
            </w:tcBorders>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w:t>
            </w:r>
          </w:p>
        </w:tc>
        <w:tc>
          <w:tcPr>
            <w:tcW w:w="6804"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核心交换机支持“多虚一”与“一虚多”设备虚拟化功能，彻底实现资源池化,按要求提供国家级第三方测评机构出具的功能测试报告（为保证权威性，要求测评机构具有中国合格评定国家认可委员会（CNAS）实验室认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trPr>
        <w:tc>
          <w:tcPr>
            <w:tcW w:w="1223" w:type="dxa"/>
            <w:vMerge w:val="continue"/>
            <w:tcBorders>
              <w:left w:val="outset" w:color="auto" w:sz="6" w:space="0"/>
              <w:right w:val="outset" w:color="auto" w:sz="6" w:space="0"/>
            </w:tcBorders>
            <w:vAlign w:val="center"/>
          </w:tcPr>
          <w:p>
            <w:pPr>
              <w:widowControl/>
              <w:jc w:val="left"/>
              <w:rPr>
                <w:rFonts w:ascii="宋体" w:hAnsi="宋体" w:cs="宋体"/>
                <w:color w:val="000000" w:themeColor="text1"/>
                <w:kern w:val="0"/>
                <w:sz w:val="24"/>
              </w:rPr>
            </w:pPr>
          </w:p>
        </w:tc>
        <w:tc>
          <w:tcPr>
            <w:tcW w:w="635" w:type="dxa"/>
            <w:vMerge w:val="continue"/>
            <w:tcBorders>
              <w:left w:val="outset" w:color="auto" w:sz="6" w:space="0"/>
              <w:right w:val="outset" w:color="auto" w:sz="6" w:space="0"/>
            </w:tcBorders>
            <w:vAlign w:val="center"/>
          </w:tcPr>
          <w:p>
            <w:pPr>
              <w:widowControl/>
              <w:jc w:val="center"/>
              <w:rPr>
                <w:rFonts w:ascii="宋体" w:hAnsi="宋体" w:cs="宋体"/>
                <w:color w:val="000000" w:themeColor="text1"/>
                <w:kern w:val="0"/>
                <w:sz w:val="24"/>
              </w:rPr>
            </w:pPr>
          </w:p>
        </w:tc>
        <w:tc>
          <w:tcPr>
            <w:tcW w:w="6804"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2.核心交换机支持1</w:t>
            </w:r>
            <w:r>
              <w:rPr>
                <w:rFonts w:hint="eastAsia" w:ascii="宋体" w:hAnsi="宋体" w:eastAsia="宋体" w:cs="宋体"/>
                <w:color w:val="000000" w:themeColor="text1"/>
                <w:kern w:val="0"/>
                <w:sz w:val="24"/>
                <w:lang w:val="en-US" w:eastAsia="zh-CN"/>
              </w:rPr>
              <w:t>0</w:t>
            </w:r>
            <w:r>
              <w:rPr>
                <w:rFonts w:hint="eastAsia" w:ascii="宋体" w:hAnsi="宋体" w:eastAsia="宋体" w:cs="宋体"/>
                <w:color w:val="000000" w:themeColor="text1"/>
                <w:kern w:val="0"/>
                <w:sz w:val="24"/>
              </w:rPr>
              <w:t>G EPON功能，要求提供国家级第三方测评机构出具的功能测试报告（为保证权威性，要求测评机构具有中国合格评定国家认可委员会（CNAS）实验室认可）。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trPr>
        <w:tc>
          <w:tcPr>
            <w:tcW w:w="1223" w:type="dxa"/>
            <w:vMerge w:val="continue"/>
            <w:tcBorders>
              <w:left w:val="outset" w:color="auto" w:sz="6" w:space="0"/>
              <w:bottom w:val="outset" w:color="auto" w:sz="6" w:space="0"/>
              <w:right w:val="outset" w:color="auto" w:sz="6" w:space="0"/>
            </w:tcBorders>
            <w:vAlign w:val="center"/>
          </w:tcPr>
          <w:p>
            <w:pPr>
              <w:widowControl/>
              <w:jc w:val="left"/>
              <w:rPr>
                <w:rFonts w:ascii="宋体" w:hAnsi="宋体" w:cs="宋体"/>
                <w:color w:val="000000" w:themeColor="text1"/>
                <w:kern w:val="0"/>
                <w:sz w:val="24"/>
              </w:rPr>
            </w:pPr>
          </w:p>
        </w:tc>
        <w:tc>
          <w:tcPr>
            <w:tcW w:w="635" w:type="dxa"/>
            <w:vMerge w:val="continue"/>
            <w:tcBorders>
              <w:left w:val="outset" w:color="auto" w:sz="6" w:space="0"/>
              <w:bottom w:val="outset" w:color="auto" w:sz="6" w:space="0"/>
              <w:right w:val="outset" w:color="auto" w:sz="6" w:space="0"/>
            </w:tcBorders>
            <w:vAlign w:val="center"/>
          </w:tcPr>
          <w:p>
            <w:pPr>
              <w:widowControl/>
              <w:jc w:val="center"/>
              <w:rPr>
                <w:rFonts w:ascii="宋体" w:hAnsi="宋体" w:cs="宋体"/>
                <w:color w:val="000000" w:themeColor="text1"/>
                <w:kern w:val="0"/>
                <w:sz w:val="24"/>
              </w:rPr>
            </w:pPr>
          </w:p>
        </w:tc>
        <w:tc>
          <w:tcPr>
            <w:tcW w:w="6804"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投标人提供设备全部满足以上2条参数要求的得2分，满足1条的得1分，其余不得分。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0" w:hRule="atLeast"/>
          <w:tblCellSpacing w:w="0" w:type="dxa"/>
        </w:trPr>
        <w:tc>
          <w:tcPr>
            <w:tcW w:w="1223" w:type="dxa"/>
            <w:vMerge w:val="restart"/>
            <w:tcBorders>
              <w:top w:val="outset" w:color="auto" w:sz="6" w:space="0"/>
              <w:left w:val="outset" w:color="auto" w:sz="6" w:space="0"/>
              <w:right w:val="outset" w:color="auto" w:sz="6" w:space="0"/>
            </w:tcBorders>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8.40KVA 三进三出UPS</w:t>
            </w:r>
          </w:p>
        </w:tc>
        <w:tc>
          <w:tcPr>
            <w:tcW w:w="635" w:type="dxa"/>
            <w:vMerge w:val="restart"/>
            <w:tcBorders>
              <w:top w:val="outset" w:color="auto" w:sz="6" w:space="0"/>
              <w:left w:val="outset" w:color="auto" w:sz="6" w:space="0"/>
              <w:right w:val="outset" w:color="auto" w:sz="6" w:space="0"/>
            </w:tcBorders>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w:t>
            </w:r>
          </w:p>
        </w:tc>
        <w:tc>
          <w:tcPr>
            <w:tcW w:w="6804"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1.输出功率因素：输出有功功率应 ≥额定容量×1</w:t>
            </w:r>
            <w:bookmarkStart w:id="44" w:name="_GoBack"/>
            <w:bookmarkEnd w:id="44"/>
            <w:r>
              <w:rPr>
                <w:rFonts w:hint="eastAsia" w:ascii="宋体" w:hAnsi="宋体" w:eastAsia="宋体" w:cs="宋体"/>
                <w:color w:val="000000" w:themeColor="text1"/>
                <w:kern w:val="0"/>
                <w:sz w:val="24"/>
              </w:rPr>
              <w:t>kW/kVA即输出PF≥1，输出端可带更多负载，不满足不得分（提供相关检测报告）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0" w:hRule="atLeast"/>
          <w:tblCellSpacing w:w="0" w:type="dxa"/>
        </w:trPr>
        <w:tc>
          <w:tcPr>
            <w:tcW w:w="1223" w:type="dxa"/>
            <w:vMerge w:val="continue"/>
            <w:tcBorders>
              <w:left w:val="outset" w:color="auto" w:sz="6" w:space="0"/>
              <w:right w:val="outset" w:color="auto" w:sz="6" w:space="0"/>
            </w:tcBorders>
            <w:vAlign w:val="center"/>
          </w:tcPr>
          <w:p>
            <w:pPr>
              <w:widowControl/>
              <w:jc w:val="left"/>
              <w:rPr>
                <w:rFonts w:ascii="宋体" w:hAnsi="宋体" w:cs="宋体"/>
                <w:color w:val="000000" w:themeColor="text1"/>
                <w:kern w:val="0"/>
                <w:sz w:val="24"/>
              </w:rPr>
            </w:pPr>
          </w:p>
        </w:tc>
        <w:tc>
          <w:tcPr>
            <w:tcW w:w="635" w:type="dxa"/>
            <w:vMerge w:val="continue"/>
            <w:tcBorders>
              <w:left w:val="outset" w:color="auto" w:sz="6" w:space="0"/>
              <w:right w:val="outset" w:color="auto" w:sz="6" w:space="0"/>
            </w:tcBorders>
            <w:vAlign w:val="center"/>
          </w:tcPr>
          <w:p>
            <w:pPr>
              <w:widowControl/>
              <w:jc w:val="center"/>
              <w:rPr>
                <w:rFonts w:ascii="宋体" w:hAnsi="宋体" w:cs="宋体"/>
                <w:color w:val="000000" w:themeColor="text1"/>
                <w:kern w:val="0"/>
                <w:sz w:val="24"/>
              </w:rPr>
            </w:pPr>
          </w:p>
        </w:tc>
        <w:tc>
          <w:tcPr>
            <w:tcW w:w="6804"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w:t>
            </w:r>
            <w:r>
              <w:rPr>
                <w:rFonts w:hint="eastAsia" w:ascii="宋体" w:hAnsi="宋体" w:eastAsia="宋体" w:cs="宋体"/>
                <w:color w:val="000000" w:themeColor="text1"/>
                <w:kern w:val="0"/>
                <w:sz w:val="24"/>
                <w:lang w:eastAsia="zh-CN"/>
              </w:rPr>
              <w:t>产品在对电池进行充电的时候，充电器需要具备对其输出电压有补偿反馈装置，保障输出电压处于优良的曲线状态，提供电池的使用寿命。（提供第三方检测报告）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0" w:hRule="atLeast"/>
          <w:tblCellSpacing w:w="0" w:type="dxa"/>
        </w:trPr>
        <w:tc>
          <w:tcPr>
            <w:tcW w:w="1223" w:type="dxa"/>
            <w:vMerge w:val="continue"/>
            <w:tcBorders>
              <w:left w:val="outset" w:color="auto" w:sz="6" w:space="0"/>
              <w:bottom w:val="outset" w:color="auto" w:sz="6" w:space="0"/>
              <w:right w:val="outset" w:color="auto" w:sz="6" w:space="0"/>
            </w:tcBorders>
            <w:vAlign w:val="center"/>
          </w:tcPr>
          <w:p>
            <w:pPr>
              <w:widowControl/>
              <w:jc w:val="left"/>
              <w:rPr>
                <w:rFonts w:ascii="宋体" w:hAnsi="宋体" w:cs="宋体"/>
                <w:color w:val="000000" w:themeColor="text1"/>
                <w:kern w:val="0"/>
                <w:sz w:val="24"/>
              </w:rPr>
            </w:pPr>
          </w:p>
        </w:tc>
        <w:tc>
          <w:tcPr>
            <w:tcW w:w="635" w:type="dxa"/>
            <w:vMerge w:val="continue"/>
            <w:tcBorders>
              <w:left w:val="outset" w:color="auto" w:sz="6" w:space="0"/>
              <w:bottom w:val="outset" w:color="auto" w:sz="6" w:space="0"/>
              <w:right w:val="outset" w:color="auto" w:sz="6" w:space="0"/>
            </w:tcBorders>
            <w:vAlign w:val="center"/>
          </w:tcPr>
          <w:p>
            <w:pPr>
              <w:widowControl/>
              <w:jc w:val="center"/>
              <w:rPr>
                <w:rFonts w:ascii="宋体" w:hAnsi="宋体" w:cs="宋体"/>
                <w:color w:val="000000" w:themeColor="text1"/>
                <w:kern w:val="0"/>
                <w:sz w:val="24"/>
              </w:rPr>
            </w:pPr>
          </w:p>
        </w:tc>
        <w:tc>
          <w:tcPr>
            <w:tcW w:w="6804"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投标人提供设备全部满足以上2条参数要求的得2分，满足1条的得1分，其余不得分。</w:t>
            </w:r>
          </w:p>
        </w:tc>
      </w:tr>
    </w:tbl>
    <w:p>
      <w:pPr>
        <w:widowControl/>
        <w:spacing w:before="100" w:beforeAutospacing="1" w:after="100" w:afterAutospacing="1"/>
        <w:ind w:firstLine="480"/>
        <w:jc w:val="left"/>
        <w:rPr>
          <w:rFonts w:asciiTheme="minorEastAsia" w:hAnsiTheme="minorEastAsia" w:cstheme="minorEastAsia"/>
          <w:b/>
          <w:bCs/>
          <w:color w:val="000000" w:themeColor="text1"/>
          <w:kern w:val="0"/>
          <w:sz w:val="24"/>
          <w:szCs w:val="24"/>
        </w:rPr>
      </w:pPr>
      <w:r>
        <w:rPr>
          <w:rFonts w:hint="eastAsia" w:asciiTheme="minorEastAsia" w:hAnsiTheme="minorEastAsia" w:cstheme="minorEastAsia"/>
          <w:b/>
          <w:bCs/>
          <w:color w:val="000000" w:themeColor="text1"/>
          <w:kern w:val="0"/>
          <w:sz w:val="24"/>
          <w:szCs w:val="24"/>
        </w:rPr>
        <w:t>③商务项（F3×A3）满分为</w:t>
      </w:r>
      <w:r>
        <w:rPr>
          <w:rFonts w:hint="eastAsia" w:asciiTheme="minorEastAsia" w:hAnsiTheme="minorEastAsia" w:cstheme="minorEastAsia"/>
          <w:b/>
          <w:bCs/>
          <w:color w:val="000000" w:themeColor="text1"/>
          <w:kern w:val="0"/>
          <w:sz w:val="24"/>
          <w:szCs w:val="24"/>
          <w:u w:val="single"/>
        </w:rPr>
        <w:t>15</w:t>
      </w:r>
      <w:r>
        <w:rPr>
          <w:rFonts w:hint="eastAsia" w:asciiTheme="minorEastAsia" w:hAnsiTheme="minorEastAsia" w:cstheme="minorEastAsia"/>
          <w:b/>
          <w:bCs/>
          <w:color w:val="000000" w:themeColor="text1"/>
          <w:kern w:val="0"/>
          <w:sz w:val="24"/>
          <w:szCs w:val="24"/>
        </w:rPr>
        <w:t>分。</w:t>
      </w:r>
    </w:p>
    <w:tbl>
      <w:tblPr>
        <w:tblStyle w:val="16"/>
        <w:tblW w:w="894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73"/>
        <w:gridCol w:w="750"/>
        <w:gridCol w:w="722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973" w:type="dxa"/>
            <w:tcBorders>
              <w:top w:val="outset" w:color="auto" w:sz="6" w:space="0"/>
              <w:left w:val="outset" w:color="auto" w:sz="6" w:space="0"/>
              <w:bottom w:val="outset" w:color="auto" w:sz="6" w:space="0"/>
              <w:right w:val="outset" w:color="auto" w:sz="6" w:space="0"/>
            </w:tcBorders>
            <w:vAlign w:val="center"/>
          </w:tcPr>
          <w:p>
            <w:pPr>
              <w:widowControl/>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评标项目</w:t>
            </w:r>
          </w:p>
        </w:tc>
        <w:tc>
          <w:tcPr>
            <w:tcW w:w="75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评标分值</w:t>
            </w:r>
          </w:p>
        </w:tc>
        <w:tc>
          <w:tcPr>
            <w:tcW w:w="7223" w:type="dxa"/>
            <w:tcBorders>
              <w:top w:val="outset" w:color="auto" w:sz="6" w:space="0"/>
              <w:left w:val="outset" w:color="auto" w:sz="6" w:space="0"/>
              <w:bottom w:val="outset" w:color="auto" w:sz="6" w:space="0"/>
              <w:right w:val="outset" w:color="auto" w:sz="6" w:space="0"/>
            </w:tcBorders>
            <w:vAlign w:val="center"/>
          </w:tcPr>
          <w:p>
            <w:pPr>
              <w:widowControl/>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评标方法描述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73" w:type="dxa"/>
            <w:vMerge w:val="restart"/>
            <w:tcBorders>
              <w:top w:val="outset" w:color="auto" w:sz="6" w:space="0"/>
              <w:left w:val="outset" w:color="auto" w:sz="6" w:space="0"/>
              <w:right w:val="outset" w:color="auto" w:sz="6" w:space="0"/>
            </w:tcBorders>
            <w:vAlign w:val="center"/>
          </w:tcPr>
          <w:p>
            <w:pPr>
              <w:widowControl/>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投标人的实力</w:t>
            </w:r>
          </w:p>
        </w:tc>
        <w:tc>
          <w:tcPr>
            <w:tcW w:w="750"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eastAsia="宋体" w:cs="宋体"/>
                <w:color w:val="000000"/>
                <w:sz w:val="24"/>
                <w:szCs w:val="24"/>
              </w:rPr>
            </w:pPr>
            <w:r>
              <w:rPr>
                <w:rFonts w:hint="eastAsia" w:ascii="宋体" w:hAnsi="宋体" w:eastAsia="宋体"/>
                <w:color w:val="000000"/>
              </w:rPr>
              <w:t>1</w:t>
            </w:r>
          </w:p>
        </w:tc>
        <w:tc>
          <w:tcPr>
            <w:tcW w:w="7223" w:type="dxa"/>
            <w:tcBorders>
              <w:top w:val="outset" w:color="auto" w:sz="6" w:space="0"/>
              <w:left w:val="outset" w:color="auto" w:sz="6" w:space="0"/>
              <w:bottom w:val="outset" w:color="auto" w:sz="6" w:space="0"/>
              <w:right w:val="outset" w:color="auto" w:sz="6" w:space="0"/>
            </w:tcBorders>
            <w:vAlign w:val="center"/>
          </w:tcPr>
          <w:p>
            <w:pPr>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投标人具有电子与智能化工程专业承包一级资质的得1分（或同类一级资质）。（须提供相关资质材料扫描件并加盖投标人公章，否则不得分）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73" w:type="dxa"/>
            <w:vMerge w:val="continue"/>
            <w:tcBorders>
              <w:left w:val="outset" w:color="auto" w:sz="6" w:space="0"/>
              <w:right w:val="outset" w:color="auto" w:sz="6" w:space="0"/>
            </w:tcBorders>
            <w:vAlign w:val="center"/>
          </w:tcPr>
          <w:p>
            <w:pPr>
              <w:widowControl/>
              <w:jc w:val="left"/>
              <w:rPr>
                <w:rFonts w:asciiTheme="minorEastAsia" w:hAnsiTheme="minorEastAsia" w:cstheme="minorEastAsia"/>
                <w:color w:val="000000" w:themeColor="text1"/>
                <w:kern w:val="0"/>
                <w:sz w:val="24"/>
                <w:szCs w:val="24"/>
              </w:rPr>
            </w:pPr>
          </w:p>
        </w:tc>
        <w:tc>
          <w:tcPr>
            <w:tcW w:w="750"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eastAsia="宋体" w:cs="宋体"/>
                <w:color w:val="000000"/>
                <w:sz w:val="24"/>
                <w:szCs w:val="24"/>
              </w:rPr>
            </w:pPr>
            <w:r>
              <w:rPr>
                <w:rFonts w:hint="eastAsia" w:ascii="宋体" w:hAnsi="宋体" w:eastAsia="宋体"/>
                <w:color w:val="000000"/>
              </w:rPr>
              <w:t>2</w:t>
            </w:r>
          </w:p>
        </w:tc>
        <w:tc>
          <w:tcPr>
            <w:tcW w:w="7223" w:type="dxa"/>
            <w:tcBorders>
              <w:top w:val="outset" w:color="auto" w:sz="6" w:space="0"/>
              <w:left w:val="outset" w:color="auto" w:sz="6" w:space="0"/>
              <w:bottom w:val="outset" w:color="auto" w:sz="6" w:space="0"/>
              <w:right w:val="outset" w:color="auto" w:sz="6" w:space="0"/>
            </w:tcBorders>
            <w:vAlign w:val="center"/>
          </w:tcPr>
          <w:p>
            <w:pPr>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lang w:eastAsia="zh-CN"/>
              </w:rPr>
              <w:t>投标人具有ITSS信息技术服务运维标准符合性证书、安防工程企业设计施工维护能力、增值电信业务经营许可证（业务种类包含互联网信息服务、信息服务业务）的，全部满足的得2分，每缺少一项扣1分，最低0分。</w:t>
            </w:r>
            <w:r>
              <w:rPr>
                <w:rFonts w:hint="eastAsia" w:asciiTheme="minorEastAsia" w:hAnsiTheme="minorEastAsia" w:cstheme="minorEastAsia"/>
                <w:color w:val="000000" w:themeColor="text1"/>
                <w:kern w:val="0"/>
                <w:sz w:val="24"/>
                <w:szCs w:val="24"/>
              </w:rPr>
              <w:t>（须提供相关资质材料扫描件并加盖投标人公章，否则不得分）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73" w:type="dxa"/>
            <w:vMerge w:val="continue"/>
            <w:tcBorders>
              <w:left w:val="outset" w:color="auto" w:sz="6" w:space="0"/>
              <w:right w:val="outset" w:color="auto" w:sz="6" w:space="0"/>
            </w:tcBorders>
            <w:vAlign w:val="center"/>
          </w:tcPr>
          <w:p>
            <w:pPr>
              <w:widowControl/>
              <w:jc w:val="left"/>
              <w:rPr>
                <w:rFonts w:asciiTheme="minorEastAsia" w:hAnsiTheme="minorEastAsia" w:cstheme="minorEastAsia"/>
                <w:color w:val="000000" w:themeColor="text1"/>
                <w:kern w:val="0"/>
                <w:sz w:val="24"/>
                <w:szCs w:val="24"/>
              </w:rPr>
            </w:pPr>
          </w:p>
        </w:tc>
        <w:tc>
          <w:tcPr>
            <w:tcW w:w="750"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eastAsia="宋体" w:cs="宋体"/>
                <w:color w:val="000000"/>
                <w:sz w:val="24"/>
                <w:szCs w:val="24"/>
              </w:rPr>
            </w:pPr>
            <w:r>
              <w:rPr>
                <w:rFonts w:hint="eastAsia" w:ascii="宋体" w:hAnsi="宋体" w:eastAsia="宋体"/>
                <w:color w:val="000000"/>
              </w:rPr>
              <w:t>2</w:t>
            </w:r>
          </w:p>
        </w:tc>
        <w:tc>
          <w:tcPr>
            <w:tcW w:w="7223" w:type="dxa"/>
            <w:tcBorders>
              <w:top w:val="outset" w:color="auto" w:sz="6" w:space="0"/>
              <w:left w:val="outset" w:color="auto" w:sz="6" w:space="0"/>
              <w:bottom w:val="outset" w:color="auto" w:sz="6" w:space="0"/>
              <w:right w:val="outset" w:color="auto" w:sz="6" w:space="0"/>
            </w:tcBorders>
            <w:vAlign w:val="center"/>
          </w:tcPr>
          <w:p>
            <w:pPr>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lang w:eastAsia="zh-CN"/>
              </w:rPr>
              <w:t>投标人拟服务于本项目的售后服务团队具有建造师（通讯与广电工程一级）、CCIE网络工程师、系统规划与管理师（高级）的，</w:t>
            </w:r>
            <w:r>
              <w:rPr>
                <w:rFonts w:hint="eastAsia" w:asciiTheme="minorEastAsia" w:hAnsiTheme="minorEastAsia" w:cstheme="minorEastAsia"/>
                <w:color w:val="000000" w:themeColor="text1"/>
                <w:kern w:val="0"/>
                <w:sz w:val="24"/>
                <w:szCs w:val="24"/>
                <w:lang w:val="en-US" w:eastAsia="zh-CN"/>
              </w:rPr>
              <w:t>全部</w:t>
            </w:r>
            <w:r>
              <w:rPr>
                <w:rFonts w:hint="eastAsia" w:asciiTheme="minorEastAsia" w:hAnsiTheme="minorEastAsia" w:cstheme="minorEastAsia"/>
                <w:color w:val="000000" w:themeColor="text1"/>
                <w:kern w:val="0"/>
                <w:sz w:val="24"/>
                <w:szCs w:val="24"/>
                <w:lang w:eastAsia="zh-CN"/>
              </w:rPr>
              <w:t>满足</w:t>
            </w:r>
            <w:r>
              <w:rPr>
                <w:rFonts w:hint="eastAsia" w:asciiTheme="minorEastAsia" w:hAnsiTheme="minorEastAsia" w:cstheme="minorEastAsia"/>
                <w:color w:val="000000" w:themeColor="text1"/>
                <w:kern w:val="0"/>
                <w:sz w:val="24"/>
                <w:szCs w:val="24"/>
                <w:lang w:val="en-US" w:eastAsia="zh-CN"/>
              </w:rPr>
              <w:t>的</w:t>
            </w:r>
            <w:r>
              <w:rPr>
                <w:rFonts w:hint="eastAsia" w:asciiTheme="minorEastAsia" w:hAnsiTheme="minorEastAsia" w:cstheme="minorEastAsia"/>
                <w:color w:val="000000" w:themeColor="text1"/>
                <w:kern w:val="0"/>
                <w:sz w:val="24"/>
                <w:szCs w:val="24"/>
                <w:lang w:eastAsia="zh-CN"/>
              </w:rPr>
              <w:t>得2分，满足</w:t>
            </w:r>
            <w:r>
              <w:rPr>
                <w:rFonts w:hint="eastAsia" w:asciiTheme="minorEastAsia" w:hAnsiTheme="minorEastAsia" w:cstheme="minorEastAsia"/>
                <w:color w:val="000000" w:themeColor="text1"/>
                <w:kern w:val="0"/>
                <w:sz w:val="24"/>
                <w:szCs w:val="24"/>
                <w:lang w:val="en-US" w:eastAsia="zh-CN"/>
              </w:rPr>
              <w:t>两项</w:t>
            </w:r>
            <w:r>
              <w:rPr>
                <w:rFonts w:hint="eastAsia" w:asciiTheme="minorEastAsia" w:hAnsiTheme="minorEastAsia" w:cstheme="minorEastAsia"/>
                <w:color w:val="000000" w:themeColor="text1"/>
                <w:kern w:val="0"/>
                <w:sz w:val="24"/>
                <w:szCs w:val="24"/>
                <w:lang w:eastAsia="zh-CN"/>
              </w:rPr>
              <w:t>的得1分，</w:t>
            </w:r>
            <w:r>
              <w:rPr>
                <w:rFonts w:hint="eastAsia" w:asciiTheme="minorEastAsia" w:hAnsiTheme="minorEastAsia" w:cstheme="minorEastAsia"/>
                <w:color w:val="000000" w:themeColor="text1"/>
                <w:kern w:val="0"/>
                <w:sz w:val="24"/>
                <w:szCs w:val="24"/>
                <w:lang w:val="en-US" w:eastAsia="zh-CN"/>
              </w:rPr>
              <w:t>满足一项的得0.5分，</w:t>
            </w:r>
            <w:r>
              <w:rPr>
                <w:rFonts w:hint="eastAsia" w:asciiTheme="minorEastAsia" w:hAnsiTheme="minorEastAsia" w:cstheme="minorEastAsia"/>
                <w:color w:val="000000" w:themeColor="text1"/>
                <w:kern w:val="0"/>
                <w:sz w:val="24"/>
                <w:szCs w:val="24"/>
                <w:lang w:eastAsia="zh-CN"/>
              </w:rPr>
              <w:t>未提供的不得分。</w:t>
            </w:r>
            <w:r>
              <w:rPr>
                <w:rFonts w:hint="eastAsia" w:asciiTheme="minorEastAsia" w:hAnsiTheme="minorEastAsia" w:cstheme="minorEastAsia"/>
                <w:color w:val="000000" w:themeColor="text1"/>
                <w:kern w:val="0"/>
                <w:sz w:val="24"/>
                <w:szCs w:val="24"/>
              </w:rPr>
              <w:t>（须提供相关证书及投标截止前半年内连续三个月的社保证明扫描件并加盖公章，原件备查）.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73" w:type="dxa"/>
            <w:vMerge w:val="continue"/>
            <w:tcBorders>
              <w:left w:val="outset" w:color="auto" w:sz="6" w:space="0"/>
              <w:right w:val="outset" w:color="auto" w:sz="6" w:space="0"/>
            </w:tcBorders>
            <w:vAlign w:val="center"/>
          </w:tcPr>
          <w:p>
            <w:pPr>
              <w:jc w:val="left"/>
              <w:rPr>
                <w:rFonts w:asciiTheme="minorEastAsia" w:hAnsiTheme="minorEastAsia" w:cstheme="minorEastAsia"/>
                <w:color w:val="000000" w:themeColor="text1"/>
                <w:kern w:val="0"/>
                <w:sz w:val="24"/>
                <w:szCs w:val="24"/>
              </w:rPr>
            </w:pPr>
          </w:p>
        </w:tc>
        <w:tc>
          <w:tcPr>
            <w:tcW w:w="750"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eastAsia="宋体" w:cs="宋体"/>
                <w:color w:val="000000"/>
                <w:sz w:val="24"/>
                <w:szCs w:val="24"/>
              </w:rPr>
            </w:pPr>
            <w:r>
              <w:rPr>
                <w:rFonts w:hint="eastAsia" w:ascii="宋体" w:hAnsi="宋体" w:eastAsia="宋体"/>
                <w:color w:val="000000"/>
              </w:rPr>
              <w:t>1</w:t>
            </w:r>
          </w:p>
        </w:tc>
        <w:tc>
          <w:tcPr>
            <w:tcW w:w="7223" w:type="dxa"/>
            <w:tcBorders>
              <w:top w:val="outset" w:color="auto" w:sz="6" w:space="0"/>
              <w:left w:val="outset" w:color="auto" w:sz="6" w:space="0"/>
              <w:bottom w:val="outset" w:color="auto" w:sz="6" w:space="0"/>
              <w:right w:val="outset" w:color="auto" w:sz="6" w:space="0"/>
            </w:tcBorders>
            <w:vAlign w:val="center"/>
          </w:tcPr>
          <w:p>
            <w:pPr>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lang w:eastAsia="zh-CN"/>
              </w:rPr>
              <w:t>拟担任本项目的项目经理须具备专业的项目管理和安全技术运维能力，能同时提供信息系统项目管理师、系统集成项目管理工程师、通信工程师、PMP等证书中三个及以上的得1分，</w:t>
            </w:r>
            <w:r>
              <w:rPr>
                <w:rFonts w:hint="eastAsia" w:asciiTheme="minorEastAsia" w:hAnsiTheme="minorEastAsia" w:cstheme="minorEastAsia"/>
                <w:color w:val="000000" w:themeColor="text1"/>
                <w:kern w:val="0"/>
                <w:sz w:val="24"/>
                <w:szCs w:val="24"/>
                <w:lang w:val="en-US" w:eastAsia="zh-CN"/>
              </w:rPr>
              <w:t>满足两个的得0.5分，</w:t>
            </w:r>
            <w:r>
              <w:rPr>
                <w:rFonts w:hint="eastAsia" w:asciiTheme="minorEastAsia" w:hAnsiTheme="minorEastAsia" w:cstheme="minorEastAsia"/>
                <w:color w:val="000000" w:themeColor="text1"/>
                <w:kern w:val="0"/>
                <w:sz w:val="24"/>
                <w:szCs w:val="24"/>
                <w:lang w:eastAsia="zh-CN"/>
              </w:rPr>
              <w:t>其他不得分。</w:t>
            </w:r>
            <w:r>
              <w:rPr>
                <w:rFonts w:hint="eastAsia" w:asciiTheme="minorEastAsia" w:hAnsiTheme="minorEastAsia" w:cstheme="minorEastAsia"/>
                <w:color w:val="000000" w:themeColor="text1"/>
                <w:kern w:val="0"/>
                <w:sz w:val="24"/>
                <w:szCs w:val="24"/>
              </w:rPr>
              <w:t>（须提供相关证书及投标截止前半年内连续三个月的社保证明扫描件并加盖公章，原件备查）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73" w:type="dxa"/>
            <w:vMerge w:val="continue"/>
            <w:tcBorders>
              <w:left w:val="outset" w:color="auto" w:sz="6" w:space="0"/>
              <w:right w:val="outset" w:color="auto" w:sz="6" w:space="0"/>
            </w:tcBorders>
            <w:vAlign w:val="center"/>
          </w:tcPr>
          <w:p>
            <w:pPr>
              <w:widowControl/>
              <w:jc w:val="left"/>
              <w:rPr>
                <w:rFonts w:asciiTheme="minorEastAsia" w:hAnsiTheme="minorEastAsia" w:cstheme="minorEastAsia"/>
                <w:color w:val="000000" w:themeColor="text1"/>
                <w:kern w:val="0"/>
                <w:sz w:val="24"/>
                <w:szCs w:val="24"/>
              </w:rPr>
            </w:pPr>
          </w:p>
        </w:tc>
        <w:tc>
          <w:tcPr>
            <w:tcW w:w="750"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eastAsia="宋体" w:cs="宋体"/>
                <w:color w:val="000000"/>
                <w:sz w:val="24"/>
                <w:szCs w:val="24"/>
              </w:rPr>
            </w:pPr>
            <w:r>
              <w:rPr>
                <w:rFonts w:hint="eastAsia" w:ascii="宋体" w:hAnsi="宋体" w:eastAsia="宋体"/>
                <w:color w:val="000000"/>
              </w:rPr>
              <w:t>1</w:t>
            </w:r>
          </w:p>
        </w:tc>
        <w:tc>
          <w:tcPr>
            <w:tcW w:w="7223" w:type="dxa"/>
            <w:tcBorders>
              <w:top w:val="outset" w:color="auto" w:sz="6" w:space="0"/>
              <w:left w:val="outset" w:color="auto" w:sz="6" w:space="0"/>
              <w:bottom w:val="outset" w:color="auto" w:sz="6" w:space="0"/>
              <w:right w:val="outset" w:color="auto" w:sz="6" w:space="0"/>
            </w:tcBorders>
            <w:vAlign w:val="center"/>
          </w:tcPr>
          <w:p>
            <w:pPr>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投标人拟服务于本项目的技术团队具有注册消防工程师专业职称证明的，得1分。（须提供相关证书复印件，劳动合同或投标截止前半年内连续三个月的社保缴纳证明，原件备查）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73" w:type="dxa"/>
            <w:tcBorders>
              <w:top w:val="outset" w:color="auto" w:sz="6" w:space="0"/>
              <w:left w:val="outset" w:color="auto" w:sz="6" w:space="0"/>
              <w:bottom w:val="outset" w:color="auto" w:sz="6" w:space="0"/>
              <w:right w:val="outset" w:color="auto" w:sz="6" w:space="0"/>
            </w:tcBorders>
            <w:vAlign w:val="center"/>
          </w:tcPr>
          <w:p>
            <w:pPr>
              <w:widowControl/>
              <w:jc w:val="left"/>
              <w:rPr>
                <w:rFonts w:asciiTheme="minorEastAsia" w:hAnsiTheme="minorEastAsia" w:cstheme="minorEastAsia"/>
                <w:color w:val="000000" w:themeColor="text1"/>
                <w:sz w:val="24"/>
                <w:szCs w:val="24"/>
                <w:u w:color="000000"/>
                <w:lang w:val="zh-TW"/>
              </w:rPr>
            </w:pPr>
            <w:r>
              <w:rPr>
                <w:rFonts w:hint="eastAsia" w:asciiTheme="minorEastAsia" w:hAnsiTheme="minorEastAsia" w:cstheme="minorEastAsia"/>
                <w:color w:val="000000" w:themeColor="text1"/>
                <w:sz w:val="24"/>
                <w:szCs w:val="24"/>
                <w:u w:color="000000"/>
                <w:lang w:val="zh-TW"/>
              </w:rPr>
              <w:t>业绩</w:t>
            </w:r>
          </w:p>
        </w:tc>
        <w:tc>
          <w:tcPr>
            <w:tcW w:w="750" w:type="dxa"/>
            <w:tcBorders>
              <w:top w:val="outset" w:color="auto" w:sz="6" w:space="0"/>
              <w:left w:val="outset" w:color="auto" w:sz="6" w:space="0"/>
              <w:bottom w:val="outset" w:color="auto" w:sz="6" w:space="0"/>
              <w:right w:val="outset" w:color="auto" w:sz="6" w:space="0"/>
            </w:tcBorders>
            <w:vAlign w:val="center"/>
          </w:tcPr>
          <w:p>
            <w:pPr>
              <w:spacing w:line="276" w:lineRule="auto"/>
              <w:ind w:firstLine="240" w:firstLineChars="100"/>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2</w:t>
            </w:r>
          </w:p>
        </w:tc>
        <w:tc>
          <w:tcPr>
            <w:tcW w:w="7223" w:type="dxa"/>
            <w:tcBorders>
              <w:top w:val="outset" w:color="auto" w:sz="6" w:space="0"/>
              <w:left w:val="outset" w:color="auto" w:sz="6" w:space="0"/>
              <w:bottom w:val="outset" w:color="auto" w:sz="6" w:space="0"/>
              <w:right w:val="outset" w:color="auto" w:sz="6" w:space="0"/>
            </w:tcBorders>
            <w:vAlign w:val="center"/>
          </w:tcPr>
          <w:p>
            <w:pPr>
              <w:spacing w:line="276" w:lineRule="auto"/>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投标人提供自2018年1月1日以来（以合同签订时间为准)类似项目业绩，每提供1份类似项目合同业绩得1分，最高得2分，投标人须提供该项目的中标公告（提供公告网址截图）、中标通知书复印件、完整的采购合同文本复印件以及验收合格证明（或该项目付款流水），并加盖投标人公章，未提供业绩或者业绩材料不齐的不得分。（同时提供项目名称、地址、联系人、联系电话等备查信息列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73" w:type="dxa"/>
            <w:vMerge w:val="restart"/>
            <w:tcBorders>
              <w:top w:val="outset" w:color="auto" w:sz="6" w:space="0"/>
              <w:left w:val="outset" w:color="auto" w:sz="6" w:space="0"/>
              <w:right w:val="outset" w:color="auto" w:sz="6" w:space="0"/>
            </w:tcBorders>
            <w:vAlign w:val="center"/>
          </w:tcPr>
          <w:p>
            <w:pPr>
              <w:widowControl/>
              <w:jc w:val="left"/>
              <w:rPr>
                <w:rFonts w:asciiTheme="minorEastAsia" w:hAnsiTheme="minorEastAsia" w:cstheme="minorEastAsia"/>
                <w:color w:val="000000" w:themeColor="text1"/>
                <w:sz w:val="24"/>
                <w:szCs w:val="24"/>
                <w:u w:color="000000"/>
                <w:lang w:val="zh-TW"/>
              </w:rPr>
            </w:pPr>
            <w:r>
              <w:rPr>
                <w:rFonts w:hint="eastAsia" w:asciiTheme="minorEastAsia" w:hAnsiTheme="minorEastAsia" w:cstheme="minorEastAsia"/>
                <w:color w:val="000000" w:themeColor="text1"/>
                <w:sz w:val="24"/>
                <w:szCs w:val="24"/>
                <w:u w:color="000000"/>
                <w:lang w:val="zh-TW"/>
              </w:rPr>
              <w:t>售后服务</w:t>
            </w:r>
          </w:p>
        </w:tc>
        <w:tc>
          <w:tcPr>
            <w:tcW w:w="750" w:type="dxa"/>
            <w:tcBorders>
              <w:top w:val="outset" w:color="auto" w:sz="6" w:space="0"/>
              <w:left w:val="outset" w:color="auto" w:sz="6" w:space="0"/>
              <w:bottom w:val="outset" w:color="auto" w:sz="6" w:space="0"/>
              <w:right w:val="outset" w:color="auto" w:sz="6" w:space="0"/>
            </w:tcBorders>
            <w:vAlign w:val="center"/>
          </w:tcPr>
          <w:p>
            <w:pPr>
              <w:spacing w:line="276" w:lineRule="auto"/>
              <w:ind w:firstLine="240" w:firstLineChars="100"/>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2</w:t>
            </w:r>
          </w:p>
        </w:tc>
        <w:tc>
          <w:tcPr>
            <w:tcW w:w="7223" w:type="dxa"/>
            <w:tcBorders>
              <w:top w:val="outset" w:color="auto" w:sz="6" w:space="0"/>
              <w:left w:val="outset" w:color="auto" w:sz="6" w:space="0"/>
              <w:bottom w:val="outset" w:color="auto" w:sz="6" w:space="0"/>
              <w:right w:val="outset" w:color="auto" w:sz="6" w:space="0"/>
            </w:tcBorders>
            <w:vAlign w:val="center"/>
          </w:tcPr>
          <w:p>
            <w:pPr>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在招标文件要求免费质保期三年的基础上，投标人承诺每延长1年得1分，满分2分。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73" w:type="dxa"/>
            <w:vMerge w:val="continue"/>
            <w:tcBorders>
              <w:left w:val="outset" w:color="auto" w:sz="6" w:space="0"/>
              <w:right w:val="outset" w:color="auto" w:sz="6" w:space="0"/>
            </w:tcBorders>
            <w:vAlign w:val="center"/>
          </w:tcPr>
          <w:p>
            <w:pPr>
              <w:widowControl/>
              <w:jc w:val="left"/>
              <w:rPr>
                <w:rFonts w:asciiTheme="minorEastAsia" w:hAnsiTheme="minorEastAsia" w:cstheme="minorEastAsia"/>
                <w:color w:val="000000" w:themeColor="text1"/>
                <w:sz w:val="24"/>
                <w:szCs w:val="24"/>
                <w:u w:color="000000"/>
                <w:lang w:val="zh-TW"/>
              </w:rPr>
            </w:pPr>
          </w:p>
        </w:tc>
        <w:tc>
          <w:tcPr>
            <w:tcW w:w="750" w:type="dxa"/>
            <w:tcBorders>
              <w:top w:val="outset" w:color="auto" w:sz="6" w:space="0"/>
              <w:left w:val="outset" w:color="auto" w:sz="6" w:space="0"/>
              <w:bottom w:val="outset" w:color="auto" w:sz="6" w:space="0"/>
              <w:right w:val="outset" w:color="auto" w:sz="6" w:space="0"/>
            </w:tcBorders>
            <w:vAlign w:val="center"/>
          </w:tcPr>
          <w:p>
            <w:pPr>
              <w:spacing w:line="276" w:lineRule="auto"/>
              <w:ind w:firstLine="240" w:firstLineChars="100"/>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1</w:t>
            </w:r>
          </w:p>
        </w:tc>
        <w:tc>
          <w:tcPr>
            <w:tcW w:w="7223" w:type="dxa"/>
            <w:tcBorders>
              <w:top w:val="outset" w:color="auto" w:sz="6" w:space="0"/>
              <w:left w:val="outset" w:color="auto" w:sz="6" w:space="0"/>
              <w:bottom w:val="outset" w:color="auto" w:sz="6" w:space="0"/>
              <w:right w:val="outset" w:color="auto" w:sz="6" w:space="0"/>
            </w:tcBorders>
            <w:vAlign w:val="center"/>
          </w:tcPr>
          <w:p>
            <w:pPr>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根据投标人的售后服务承诺、维护响应计划进行评分：售后服务内容、故障响应时间、响应方式等方面，由评委对各投标服务承诺在0-1分之间进行打分。</w:t>
            </w:r>
            <w:r>
              <w:rPr>
                <w:rFonts w:hint="eastAsia" w:asciiTheme="minorEastAsia" w:hAnsiTheme="minorEastAsia" w:cstheme="minorEastAsia"/>
                <w:color w:val="000000" w:themeColor="text1"/>
                <w:kern w:val="0"/>
                <w:sz w:val="24"/>
                <w:szCs w:val="24"/>
              </w:rPr>
              <w:br w:type="textWrapping"/>
            </w:r>
            <w:r>
              <w:rPr>
                <w:rFonts w:hint="eastAsia" w:asciiTheme="minorEastAsia" w:hAnsiTheme="minorEastAsia" w:cstheme="minorEastAsia"/>
                <w:color w:val="000000" w:themeColor="text1"/>
                <w:kern w:val="0"/>
                <w:sz w:val="24"/>
                <w:szCs w:val="24"/>
              </w:rPr>
              <w:t>①人员配备齐全、售后服务内容全面、深度详细、响应时间及方式非常快、非常适用的，得1分；</w:t>
            </w:r>
            <w:r>
              <w:rPr>
                <w:rFonts w:hint="eastAsia" w:asciiTheme="minorEastAsia" w:hAnsiTheme="minorEastAsia" w:cstheme="minorEastAsia"/>
                <w:color w:val="000000" w:themeColor="text1"/>
                <w:kern w:val="0"/>
                <w:sz w:val="24"/>
                <w:szCs w:val="24"/>
              </w:rPr>
              <w:br w:type="textWrapping"/>
            </w:r>
            <w:r>
              <w:rPr>
                <w:rFonts w:hint="eastAsia" w:asciiTheme="minorEastAsia" w:hAnsiTheme="minorEastAsia" w:cstheme="minorEastAsia"/>
                <w:color w:val="000000" w:themeColor="text1"/>
                <w:kern w:val="0"/>
                <w:sz w:val="24"/>
                <w:szCs w:val="24"/>
              </w:rPr>
              <w:t>②人员配备较齐全、售后服务内容较为全面、深度一般、响应时间及方式快、较适用的，得0.5分；</w:t>
            </w:r>
            <w:r>
              <w:rPr>
                <w:rFonts w:hint="eastAsia" w:asciiTheme="minorEastAsia" w:hAnsiTheme="minorEastAsia" w:cstheme="minorEastAsia"/>
                <w:color w:val="000000" w:themeColor="text1"/>
                <w:kern w:val="0"/>
                <w:sz w:val="24"/>
                <w:szCs w:val="24"/>
              </w:rPr>
              <w:br w:type="textWrapping"/>
            </w:r>
            <w:r>
              <w:rPr>
                <w:rFonts w:hint="eastAsia" w:asciiTheme="minorEastAsia" w:hAnsiTheme="minorEastAsia" w:cstheme="minorEastAsia"/>
                <w:color w:val="000000" w:themeColor="text1"/>
                <w:kern w:val="0"/>
                <w:sz w:val="24"/>
                <w:szCs w:val="24"/>
              </w:rPr>
              <w:t>③人员配备不够齐全、售后服务内容不够全面、深度不够、响应时间及方式慢、部分适用的，不得分；</w:t>
            </w:r>
            <w:r>
              <w:rPr>
                <w:rFonts w:hint="eastAsia" w:asciiTheme="minorEastAsia" w:hAnsiTheme="minorEastAsia" w:cstheme="minorEastAsia"/>
                <w:color w:val="000000" w:themeColor="text1"/>
                <w:kern w:val="0"/>
                <w:sz w:val="24"/>
                <w:szCs w:val="24"/>
              </w:rPr>
              <w:br w:type="textWrapping"/>
            </w:r>
            <w:r>
              <w:rPr>
                <w:rFonts w:hint="eastAsia" w:asciiTheme="minorEastAsia" w:hAnsiTheme="minorEastAsia" w:cstheme="minorEastAsia"/>
                <w:color w:val="000000" w:themeColor="text1"/>
                <w:kern w:val="0"/>
                <w:sz w:val="24"/>
                <w:szCs w:val="24"/>
              </w:rPr>
              <w:t>不符合招标文件要求或未提供售后服务承诺的不得分。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0" w:hRule="atLeast"/>
          <w:tblCellSpacing w:w="0" w:type="dxa"/>
        </w:trPr>
        <w:tc>
          <w:tcPr>
            <w:tcW w:w="973" w:type="dxa"/>
            <w:vMerge w:val="restart"/>
            <w:tcBorders>
              <w:top w:val="single" w:color="auto" w:sz="4" w:space="0"/>
              <w:left w:val="outset" w:color="auto" w:sz="6" w:space="0"/>
              <w:right w:val="outset" w:color="auto" w:sz="6" w:space="0"/>
            </w:tcBorders>
            <w:vAlign w:val="center"/>
          </w:tcPr>
          <w:p>
            <w:pPr>
              <w:widowControl/>
              <w:jc w:val="left"/>
              <w:rPr>
                <w:rFonts w:asciiTheme="minorEastAsia" w:hAnsiTheme="minorEastAsia" w:cstheme="minorEastAsia"/>
                <w:color w:val="000000" w:themeColor="text1"/>
                <w:sz w:val="24"/>
                <w:szCs w:val="24"/>
                <w:u w:color="000000"/>
                <w:lang w:val="zh-TW"/>
              </w:rPr>
            </w:pPr>
            <w:r>
              <w:rPr>
                <w:rFonts w:hint="eastAsia" w:asciiTheme="minorEastAsia" w:hAnsiTheme="minorEastAsia" w:cstheme="minorEastAsia"/>
                <w:color w:val="000000" w:themeColor="text1"/>
                <w:sz w:val="24"/>
                <w:szCs w:val="24"/>
                <w:u w:color="000000"/>
                <w:lang w:val="zh-TW"/>
              </w:rPr>
              <w:t>投标人的企业信誉</w:t>
            </w:r>
          </w:p>
        </w:tc>
        <w:tc>
          <w:tcPr>
            <w:tcW w:w="750" w:type="dxa"/>
            <w:vMerge w:val="restart"/>
            <w:tcBorders>
              <w:top w:val="single" w:color="auto" w:sz="4" w:space="0"/>
              <w:left w:val="outset" w:color="auto" w:sz="6" w:space="0"/>
              <w:right w:val="outset" w:color="auto" w:sz="6" w:space="0"/>
            </w:tcBorders>
            <w:vAlign w:val="center"/>
          </w:tcPr>
          <w:p>
            <w:pPr>
              <w:spacing w:line="276" w:lineRule="auto"/>
              <w:ind w:firstLine="240" w:firstLineChars="100"/>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3</w:t>
            </w:r>
          </w:p>
        </w:tc>
        <w:tc>
          <w:tcPr>
            <w:tcW w:w="7223" w:type="dxa"/>
            <w:tcBorders>
              <w:top w:val="outset" w:color="auto" w:sz="6" w:space="0"/>
              <w:left w:val="outset" w:color="auto" w:sz="6" w:space="0"/>
              <w:bottom w:val="outset" w:color="auto" w:sz="6" w:space="0"/>
              <w:right w:val="outset" w:color="auto" w:sz="6" w:space="0"/>
            </w:tcBorders>
            <w:vAlign w:val="center"/>
          </w:tcPr>
          <w:p>
            <w:pPr>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1．投标人提交投标（或响应）文件截止时间前三年内获得省级或省级以上“重合同守信用”或“守合同重信用”企业荣誉的，得1分。提供证书复印件并加盖投标人公章，未提供不得分。（满分1分）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0" w:hRule="atLeast"/>
          <w:tblCellSpacing w:w="0" w:type="dxa"/>
        </w:trPr>
        <w:tc>
          <w:tcPr>
            <w:tcW w:w="973" w:type="dxa"/>
            <w:vMerge w:val="continue"/>
            <w:tcBorders>
              <w:left w:val="outset" w:color="auto" w:sz="6" w:space="0"/>
              <w:right w:val="outset" w:color="auto" w:sz="6" w:space="0"/>
            </w:tcBorders>
            <w:vAlign w:val="center"/>
          </w:tcPr>
          <w:p>
            <w:pPr>
              <w:widowControl/>
              <w:jc w:val="left"/>
              <w:rPr>
                <w:rFonts w:asciiTheme="minorEastAsia" w:hAnsiTheme="minorEastAsia" w:cstheme="minorEastAsia"/>
                <w:color w:val="000000" w:themeColor="text1"/>
                <w:sz w:val="24"/>
                <w:szCs w:val="24"/>
                <w:u w:color="000000"/>
                <w:lang w:val="zh-TW"/>
              </w:rPr>
            </w:pPr>
          </w:p>
        </w:tc>
        <w:tc>
          <w:tcPr>
            <w:tcW w:w="750" w:type="dxa"/>
            <w:vMerge w:val="continue"/>
            <w:tcBorders>
              <w:left w:val="outset" w:color="auto" w:sz="6" w:space="0"/>
              <w:right w:val="outset" w:color="auto" w:sz="6" w:space="0"/>
            </w:tcBorders>
            <w:vAlign w:val="center"/>
          </w:tcPr>
          <w:p>
            <w:pPr>
              <w:spacing w:line="276" w:lineRule="auto"/>
              <w:ind w:firstLine="240" w:firstLineChars="100"/>
              <w:rPr>
                <w:rFonts w:asciiTheme="minorEastAsia" w:hAnsiTheme="minorEastAsia" w:cstheme="minorEastAsia"/>
                <w:color w:val="000000" w:themeColor="text1"/>
                <w:kern w:val="0"/>
                <w:sz w:val="24"/>
                <w:szCs w:val="24"/>
              </w:rPr>
            </w:pPr>
          </w:p>
        </w:tc>
        <w:tc>
          <w:tcPr>
            <w:tcW w:w="7223" w:type="dxa"/>
            <w:tcBorders>
              <w:top w:val="outset" w:color="auto" w:sz="6" w:space="0"/>
              <w:left w:val="outset" w:color="auto" w:sz="6" w:space="0"/>
              <w:bottom w:val="outset" w:color="auto" w:sz="6" w:space="0"/>
              <w:right w:val="outset" w:color="auto" w:sz="6" w:space="0"/>
            </w:tcBorders>
            <w:vAlign w:val="center"/>
          </w:tcPr>
          <w:p>
            <w:pPr>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2．投标人近3年（2017年-2019年）获得纳税信用评定等级为A级的得1分。（提供证书复印件并加盖公章）以“信用中国”（https://www.creditchina.gov.cn/）查询结果为准，提供网站查询复印件加盖公章。（满分1分）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0" w:hRule="atLeast"/>
          <w:tblCellSpacing w:w="0" w:type="dxa"/>
        </w:trPr>
        <w:tc>
          <w:tcPr>
            <w:tcW w:w="973" w:type="dxa"/>
            <w:vMerge w:val="continue"/>
            <w:tcBorders>
              <w:left w:val="outset" w:color="auto" w:sz="6" w:space="0"/>
              <w:bottom w:val="outset" w:color="auto" w:sz="6" w:space="0"/>
              <w:right w:val="outset" w:color="auto" w:sz="6" w:space="0"/>
            </w:tcBorders>
            <w:vAlign w:val="center"/>
          </w:tcPr>
          <w:p>
            <w:pPr>
              <w:widowControl/>
              <w:jc w:val="left"/>
              <w:rPr>
                <w:rFonts w:asciiTheme="minorEastAsia" w:hAnsiTheme="minorEastAsia" w:cstheme="minorEastAsia"/>
                <w:color w:val="000000" w:themeColor="text1"/>
                <w:sz w:val="24"/>
                <w:szCs w:val="24"/>
                <w:u w:color="000000"/>
                <w:lang w:val="zh-TW"/>
              </w:rPr>
            </w:pPr>
          </w:p>
        </w:tc>
        <w:tc>
          <w:tcPr>
            <w:tcW w:w="750" w:type="dxa"/>
            <w:vMerge w:val="continue"/>
            <w:tcBorders>
              <w:left w:val="outset" w:color="auto" w:sz="6" w:space="0"/>
              <w:bottom w:val="outset" w:color="auto" w:sz="6" w:space="0"/>
              <w:right w:val="outset" w:color="auto" w:sz="6" w:space="0"/>
            </w:tcBorders>
            <w:vAlign w:val="center"/>
          </w:tcPr>
          <w:p>
            <w:pPr>
              <w:spacing w:line="276" w:lineRule="auto"/>
              <w:ind w:firstLine="240" w:firstLineChars="100"/>
              <w:rPr>
                <w:rFonts w:asciiTheme="minorEastAsia" w:hAnsiTheme="minorEastAsia" w:cstheme="minorEastAsia"/>
                <w:color w:val="000000" w:themeColor="text1"/>
                <w:kern w:val="0"/>
                <w:sz w:val="24"/>
                <w:szCs w:val="24"/>
              </w:rPr>
            </w:pPr>
          </w:p>
        </w:tc>
        <w:tc>
          <w:tcPr>
            <w:tcW w:w="7223" w:type="dxa"/>
            <w:tcBorders>
              <w:top w:val="outset" w:color="auto" w:sz="6" w:space="0"/>
              <w:left w:val="outset" w:color="auto" w:sz="6" w:space="0"/>
              <w:bottom w:val="outset" w:color="auto" w:sz="6" w:space="0"/>
              <w:right w:val="outset" w:color="auto" w:sz="6" w:space="0"/>
            </w:tcBorders>
            <w:vAlign w:val="center"/>
          </w:tcPr>
          <w:p>
            <w:pPr>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3. 投标人近3年内（2017-2019）实施项目获得省级或省级以上优质工程奖（智能化专业），每提供1项优质专项工程得1分，提供证明材料复印件并加盖投标人公章并提供相关网站的下载网页及其网址。（满分1分）</w:t>
            </w:r>
          </w:p>
        </w:tc>
      </w:tr>
    </w:tbl>
    <w:p>
      <w:pPr>
        <w:pStyle w:val="14"/>
        <w:widowControl/>
        <w:ind w:firstLine="480"/>
        <w:rPr>
          <w:rFonts w:ascii="宋体" w:hAnsi="宋体" w:eastAsia="宋体" w:cs="宋体"/>
          <w:color w:val="000000"/>
        </w:rPr>
      </w:pPr>
      <w:r>
        <w:rPr>
          <w:rFonts w:hint="eastAsia" w:ascii="仿宋" w:hAnsi="仿宋" w:eastAsia="仿宋" w:cs="仿宋"/>
          <w:color w:val="000000"/>
        </w:rPr>
        <w:t>④</w:t>
      </w:r>
      <w:r>
        <w:rPr>
          <w:rFonts w:hint="eastAsia" w:ascii="宋体" w:hAnsi="宋体" w:eastAsia="宋体" w:cs="宋体"/>
          <w:color w:val="000000"/>
        </w:rPr>
        <w:t>加分项（F4×A4）</w:t>
      </w:r>
    </w:p>
    <w:p>
      <w:pPr>
        <w:widowControl/>
        <w:spacing w:line="360" w:lineRule="exact"/>
        <w:ind w:firstLine="480" w:firstLineChars="200"/>
        <w:jc w:val="left"/>
        <w:rPr>
          <w:rFonts w:ascii="宋体" w:hAnsi="宋体" w:eastAsia="宋体" w:cs="宋体"/>
          <w:color w:val="000000"/>
          <w:sz w:val="24"/>
        </w:rPr>
      </w:pPr>
      <w:r>
        <w:rPr>
          <w:rFonts w:hint="eastAsia" w:ascii="宋体" w:hAnsi="宋体" w:eastAsia="宋体" w:cs="宋体"/>
          <w:color w:val="000000"/>
          <w:sz w:val="24"/>
        </w:rPr>
        <w:t>a.优先类节能产品、环境标志产品：</w:t>
      </w:r>
    </w:p>
    <w:p>
      <w:pPr>
        <w:widowControl/>
        <w:spacing w:line="360" w:lineRule="exact"/>
        <w:ind w:firstLine="480" w:firstLineChars="200"/>
        <w:jc w:val="left"/>
        <w:rPr>
          <w:rFonts w:ascii="宋体" w:hAnsi="宋体" w:eastAsia="宋体" w:cs="宋体"/>
          <w:color w:val="000000"/>
          <w:sz w:val="24"/>
        </w:rPr>
      </w:pPr>
      <w:r>
        <w:rPr>
          <w:rFonts w:hint="eastAsia" w:ascii="宋体" w:hAnsi="宋体" w:eastAsia="宋体" w:cs="宋体"/>
          <w:color w:val="000000"/>
          <w:sz w:val="24"/>
        </w:rPr>
        <w:t>a1若同一合同包内节能、环境标志产品报价总金额低于该合同包报价总金额20%（含20%）以下，将分别给予节能、环境标志产品价格项（F1×A1，按照满分计）和技术项（F2×A2，按照满分计）4%的加分；若同一合同包内节能、环境标志产品报价总金额占该合同包报价总金额20%-50%（含50%），将分别给予节能、环境标志产品价格项（F1×A1，按照满分计）和技术项（F2×A2，按照满分计）6%的加分；若同一合同包内节能、环境标志产品报价总金额占该合同包报价总金额50%以上的，将分别给予节能、环境标志产品价格项（F1×A1，按照满分计）和技术项（F2×A2，按照满分计）8%的加分。</w:t>
      </w:r>
    </w:p>
    <w:p>
      <w:pPr>
        <w:widowControl/>
        <w:spacing w:line="360" w:lineRule="exact"/>
        <w:ind w:firstLine="480" w:firstLineChars="200"/>
        <w:jc w:val="left"/>
        <w:rPr>
          <w:rFonts w:ascii="宋体" w:hAnsi="宋体" w:eastAsia="宋体" w:cs="宋体"/>
          <w:b w:val="0"/>
          <w:bCs w:val="0"/>
          <w:color w:val="auto"/>
          <w:sz w:val="24"/>
        </w:rPr>
      </w:pPr>
      <w:r>
        <w:rPr>
          <w:rFonts w:hint="eastAsia" w:ascii="宋体" w:hAnsi="宋体" w:eastAsia="宋体" w:cs="宋体"/>
          <w:color w:val="000000"/>
          <w:sz w:val="24"/>
        </w:rPr>
        <w:t>a2若节能、环境标志产品仅是构成投标产品的部件、组件或零件，则该投标产品不享受鼓励优惠政策。</w:t>
      </w:r>
      <w:r>
        <w:rPr>
          <w:rFonts w:hint="eastAsia" w:ascii="宋体" w:hAnsi="宋体" w:eastAsia="宋体" w:cs="宋体"/>
          <w:b w:val="0"/>
          <w:bCs w:val="0"/>
          <w:color w:val="auto"/>
          <w:sz w:val="24"/>
        </w:rPr>
        <w:t>同一品目中各认证证书不重复计算加分。强制类节能产品不享受加分。</w:t>
      </w:r>
    </w:p>
    <w:p>
      <w:pPr>
        <w:widowControl/>
        <w:spacing w:line="360" w:lineRule="exact"/>
        <w:ind w:firstLine="480" w:firstLineChars="200"/>
        <w:jc w:val="left"/>
        <w:rPr>
          <w:rFonts w:ascii="宋体" w:hAnsi="宋体" w:eastAsia="宋体" w:cs="宋体"/>
          <w:color w:val="000000"/>
          <w:sz w:val="24"/>
        </w:rPr>
      </w:pPr>
      <w:r>
        <w:rPr>
          <w:rFonts w:hint="eastAsia" w:ascii="宋体" w:hAnsi="宋体" w:eastAsia="宋体" w:cs="宋体"/>
          <w:color w:val="000000"/>
          <w:sz w:val="24"/>
        </w:rPr>
        <w:t>（4）中标候选人排列规则顺序如下：</w:t>
      </w:r>
    </w:p>
    <w:p>
      <w:pPr>
        <w:widowControl/>
        <w:spacing w:line="360" w:lineRule="exact"/>
        <w:ind w:firstLine="480" w:firstLineChars="200"/>
        <w:jc w:val="left"/>
        <w:rPr>
          <w:rFonts w:ascii="宋体" w:hAnsi="宋体" w:eastAsia="宋体" w:cs="宋体"/>
          <w:color w:val="000000"/>
          <w:sz w:val="24"/>
        </w:rPr>
      </w:pPr>
      <w:r>
        <w:rPr>
          <w:rFonts w:hint="eastAsia" w:ascii="宋体" w:hAnsi="宋体" w:eastAsia="宋体" w:cs="宋体"/>
          <w:color w:val="000000"/>
          <w:sz w:val="24"/>
        </w:rPr>
        <w:t>a.按照评标总得分（FA）由高到低顺序排列。</w:t>
      </w:r>
    </w:p>
    <w:p>
      <w:pPr>
        <w:widowControl/>
        <w:spacing w:line="360" w:lineRule="exact"/>
        <w:ind w:firstLine="480" w:firstLineChars="200"/>
        <w:jc w:val="left"/>
        <w:rPr>
          <w:rFonts w:ascii="宋体" w:hAnsi="宋体" w:eastAsia="宋体" w:cs="宋体"/>
          <w:color w:val="000000"/>
          <w:sz w:val="24"/>
        </w:rPr>
      </w:pPr>
      <w:r>
        <w:rPr>
          <w:rFonts w:hint="eastAsia" w:ascii="宋体" w:hAnsi="宋体" w:eastAsia="宋体" w:cs="宋体"/>
          <w:color w:val="000000"/>
          <w:sz w:val="24"/>
        </w:rPr>
        <w:t>b.评标总得分（FA）相同的，按照评标价（即价格扣除后的投标报价）由低到高顺序排列。</w:t>
      </w:r>
    </w:p>
    <w:p>
      <w:pPr>
        <w:widowControl/>
        <w:spacing w:line="360" w:lineRule="exact"/>
        <w:ind w:firstLine="480" w:firstLineChars="200"/>
        <w:jc w:val="left"/>
        <w:rPr>
          <w:rFonts w:ascii="宋体" w:hAnsi="宋体" w:eastAsia="宋体" w:cs="宋体"/>
          <w:color w:val="000000"/>
          <w:sz w:val="24"/>
        </w:rPr>
      </w:pPr>
      <w:r>
        <w:rPr>
          <w:rFonts w:hint="eastAsia" w:ascii="宋体" w:hAnsi="宋体" w:eastAsia="宋体" w:cs="宋体"/>
          <w:color w:val="000000"/>
          <w:sz w:val="24"/>
        </w:rPr>
        <w:t>c.评标总得分（FA）且评标价（即价格扣除后的投标报价）相同的并列。</w:t>
      </w:r>
    </w:p>
    <w:p>
      <w:pPr>
        <w:widowControl/>
        <w:spacing w:line="360" w:lineRule="exact"/>
        <w:ind w:firstLine="480" w:firstLineChars="200"/>
        <w:jc w:val="left"/>
        <w:rPr>
          <w:rFonts w:ascii="宋体" w:hAnsi="宋体" w:eastAsia="宋体" w:cs="宋体"/>
          <w:color w:val="000000"/>
          <w:sz w:val="24"/>
        </w:rPr>
      </w:pPr>
      <w:r>
        <w:rPr>
          <w:rFonts w:hint="eastAsia" w:ascii="宋体" w:hAnsi="宋体" w:eastAsia="宋体" w:cs="宋体"/>
          <w:color w:val="000000"/>
          <w:sz w:val="24"/>
        </w:rPr>
        <w:t>8、其他规定</w:t>
      </w:r>
    </w:p>
    <w:p>
      <w:pPr>
        <w:widowControl/>
        <w:spacing w:line="360" w:lineRule="exact"/>
        <w:ind w:firstLine="480" w:firstLineChars="200"/>
        <w:jc w:val="left"/>
        <w:rPr>
          <w:rFonts w:ascii="宋体" w:hAnsi="宋体" w:eastAsia="宋体" w:cs="宋体"/>
          <w:color w:val="000000"/>
          <w:sz w:val="24"/>
        </w:rPr>
      </w:pPr>
      <w:r>
        <w:rPr>
          <w:rFonts w:hint="eastAsia" w:ascii="宋体" w:hAnsi="宋体" w:eastAsia="宋体" w:cs="宋体"/>
          <w:color w:val="000000"/>
          <w:sz w:val="24"/>
        </w:rPr>
        <w:t>8.1评标应全程保密且不得透露给任一投标人或与评标工作无关的人员。</w:t>
      </w:r>
    </w:p>
    <w:p>
      <w:pPr>
        <w:widowControl/>
        <w:spacing w:line="360" w:lineRule="exact"/>
        <w:ind w:firstLine="480" w:firstLineChars="200"/>
        <w:jc w:val="left"/>
        <w:rPr>
          <w:rFonts w:ascii="宋体" w:hAnsi="宋体" w:eastAsia="宋体" w:cs="宋体"/>
          <w:color w:val="000000"/>
          <w:sz w:val="24"/>
        </w:rPr>
      </w:pPr>
      <w:r>
        <w:rPr>
          <w:rFonts w:hint="eastAsia" w:ascii="宋体" w:hAnsi="宋体" w:eastAsia="宋体" w:cs="宋体"/>
          <w:color w:val="000000"/>
          <w:sz w:val="24"/>
        </w:rPr>
        <w:t>8.2评标将进行全程实时录音录像，录音录像资料随采购文件一并存档。</w:t>
      </w:r>
    </w:p>
    <w:p>
      <w:pPr>
        <w:widowControl/>
        <w:spacing w:line="360" w:lineRule="exact"/>
        <w:ind w:firstLine="480" w:firstLineChars="200"/>
        <w:jc w:val="left"/>
        <w:rPr>
          <w:rFonts w:ascii="宋体" w:hAnsi="宋体" w:eastAsia="宋体" w:cs="宋体"/>
          <w:color w:val="000000"/>
          <w:sz w:val="24"/>
        </w:rPr>
      </w:pPr>
      <w:r>
        <w:rPr>
          <w:rFonts w:hint="eastAsia" w:ascii="宋体" w:hAnsi="宋体" w:eastAsia="宋体" w:cs="宋体"/>
          <w:color w:val="000000"/>
          <w:sz w:val="24"/>
        </w:rPr>
        <w:t>8.3若投标人有任何试图干扰具体评标事务，影响评标委员会独立履行职责的行为，其投标无效且不予退还投标保证金。情节严重的，由财政部门列入不良行为记录。</w:t>
      </w:r>
    </w:p>
    <w:p>
      <w:pPr>
        <w:widowControl/>
        <w:spacing w:line="360" w:lineRule="exact"/>
        <w:ind w:firstLine="480" w:firstLineChars="200"/>
        <w:jc w:val="left"/>
        <w:rPr>
          <w:rFonts w:ascii="宋体" w:hAnsi="宋体" w:eastAsia="宋体" w:cs="宋体"/>
          <w:kern w:val="0"/>
          <w:sz w:val="24"/>
          <w:szCs w:val="24"/>
        </w:rPr>
      </w:pPr>
      <w:r>
        <w:rPr>
          <w:rFonts w:hint="eastAsia" w:ascii="宋体" w:hAnsi="宋体" w:eastAsia="宋体" w:cs="宋体"/>
          <w:color w:val="000000"/>
          <w:sz w:val="24"/>
        </w:rPr>
        <w:t>8.4其他：无</w:t>
      </w:r>
    </w:p>
    <w:p>
      <w:pPr>
        <w:widowControl/>
        <w:spacing w:before="75" w:after="75"/>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center"/>
        <w:outlineLvl w:val="0"/>
        <w:rPr>
          <w:rFonts w:ascii="宋体" w:hAnsi="宋体" w:eastAsia="宋体" w:cs="宋体"/>
          <w:kern w:val="0"/>
          <w:sz w:val="24"/>
          <w:szCs w:val="24"/>
        </w:rPr>
      </w:pPr>
      <w:bookmarkStart w:id="4" w:name="_Toc1258"/>
      <w:r>
        <w:rPr>
          <w:rFonts w:ascii="宋体" w:hAnsi="宋体" w:eastAsia="宋体" w:cs="宋体"/>
          <w:b/>
          <w:bCs/>
          <w:kern w:val="0"/>
          <w:sz w:val="32"/>
        </w:rPr>
        <w:t>第五章   招标内容及要求</w:t>
      </w:r>
      <w:bookmarkEnd w:id="4"/>
    </w:p>
    <w:p>
      <w:pPr>
        <w:widowControl/>
        <w:spacing w:before="75" w:after="75"/>
        <w:jc w:val="left"/>
        <w:rPr>
          <w:rFonts w:ascii="宋体" w:hAnsi="宋体" w:eastAsia="宋体" w:cs="宋体"/>
          <w:b/>
          <w:bCs/>
          <w:kern w:val="0"/>
          <w:sz w:val="24"/>
          <w:szCs w:val="24"/>
        </w:rPr>
      </w:pPr>
      <w:r>
        <w:rPr>
          <w:rFonts w:ascii="宋体" w:hAnsi="宋体" w:eastAsia="宋体" w:cs="宋体"/>
          <w:b/>
          <w:bCs/>
          <w:kern w:val="0"/>
          <w:sz w:val="24"/>
          <w:szCs w:val="24"/>
        </w:rPr>
        <w:t>一、项目概况（采购标的）</w:t>
      </w:r>
    </w:p>
    <w:p>
      <w:pPr>
        <w:pStyle w:val="2"/>
        <w:ind w:firstLine="480" w:firstLineChars="200"/>
        <w:rPr>
          <w:rFonts w:ascii="宋体" w:hAnsi="宋体" w:eastAsia="宋体" w:cs="宋体"/>
          <w:kern w:val="0"/>
          <w:sz w:val="24"/>
          <w:szCs w:val="24"/>
        </w:rPr>
      </w:pPr>
      <w:r>
        <w:rPr>
          <w:rFonts w:hint="eastAsia" w:ascii="宋体" w:hAnsi="宋体" w:eastAsia="宋体" w:cs="宋体"/>
          <w:kern w:val="0"/>
          <w:sz w:val="24"/>
          <w:szCs w:val="24"/>
        </w:rPr>
        <w:t>石狮服装城监控系统及消防控制中心系统改造项目，共分为：安防监控系统、机房工程、消防系统改造工程（详见工程量清单）。</w:t>
      </w:r>
    </w:p>
    <w:p>
      <w:pPr>
        <w:widowControl/>
        <w:spacing w:before="75" w:after="75"/>
        <w:jc w:val="left"/>
        <w:rPr>
          <w:rFonts w:ascii="宋体" w:hAnsi="宋体" w:eastAsia="宋体" w:cs="宋体"/>
          <w:b/>
          <w:bCs/>
          <w:color w:val="000000" w:themeColor="text1"/>
          <w:kern w:val="0"/>
          <w:sz w:val="24"/>
          <w:szCs w:val="24"/>
        </w:rPr>
      </w:pPr>
      <w:r>
        <w:rPr>
          <w:rFonts w:ascii="宋体" w:hAnsi="宋体" w:eastAsia="宋体" w:cs="宋体"/>
          <w:b/>
          <w:bCs/>
          <w:color w:val="000000" w:themeColor="text1"/>
          <w:kern w:val="0"/>
          <w:sz w:val="24"/>
          <w:szCs w:val="24"/>
        </w:rPr>
        <w:t>二、技术和服务要求</w:t>
      </w:r>
    </w:p>
    <w:tbl>
      <w:tblPr>
        <w:tblStyle w:val="16"/>
        <w:tblW w:w="5000" w:type="pct"/>
        <w:tblInd w:w="0" w:type="dxa"/>
        <w:tblLayout w:type="fixed"/>
        <w:tblCellMar>
          <w:top w:w="0" w:type="dxa"/>
          <w:left w:w="108" w:type="dxa"/>
          <w:bottom w:w="0" w:type="dxa"/>
          <w:right w:w="108" w:type="dxa"/>
        </w:tblCellMar>
      </w:tblPr>
      <w:tblGrid>
        <w:gridCol w:w="577"/>
        <w:gridCol w:w="1231"/>
        <w:gridCol w:w="5013"/>
        <w:gridCol w:w="760"/>
        <w:gridCol w:w="941"/>
      </w:tblGrid>
      <w:tr>
        <w:tblPrEx>
          <w:tblCellMar>
            <w:top w:w="0" w:type="dxa"/>
            <w:left w:w="108" w:type="dxa"/>
            <w:bottom w:w="0" w:type="dxa"/>
            <w:right w:w="108" w:type="dxa"/>
          </w:tblCellMar>
        </w:tblPrEx>
        <w:trPr>
          <w:trHeight w:val="270" w:hRule="atLeast"/>
        </w:trPr>
        <w:tc>
          <w:tcPr>
            <w:tcW w:w="5000" w:type="pct"/>
            <w:gridSpan w:val="5"/>
            <w:tcBorders>
              <w:top w:val="single" w:color="auto" w:sz="8" w:space="0"/>
              <w:left w:val="nil"/>
              <w:bottom w:val="nil"/>
              <w:right w:val="nil"/>
            </w:tcBorders>
            <w:shd w:val="clear" w:color="auto" w:fill="auto"/>
            <w:noWrap/>
            <w:vAlign w:val="center"/>
          </w:tcPr>
          <w:p>
            <w:pPr>
              <w:widowControl/>
              <w:jc w:val="center"/>
              <w:rPr>
                <w:rFonts w:ascii="宋体" w:hAnsi="宋体" w:eastAsia="宋体" w:cs="宋体"/>
                <w:b/>
                <w:bCs/>
                <w:color w:val="000000" w:themeColor="text1"/>
                <w:kern w:val="0"/>
                <w:sz w:val="24"/>
                <w:szCs w:val="24"/>
              </w:rPr>
            </w:pPr>
          </w:p>
          <w:p>
            <w:pPr>
              <w:widowControl/>
              <w:jc w:val="center"/>
              <w:rPr>
                <w:rFonts w:ascii="宋体" w:hAnsi="宋体" w:eastAsia="宋体" w:cs="宋体"/>
                <w:b/>
                <w:bCs/>
                <w:color w:val="000000"/>
                <w:kern w:val="0"/>
                <w:szCs w:val="21"/>
              </w:rPr>
            </w:pPr>
            <w:r>
              <w:rPr>
                <w:rFonts w:hint="eastAsia" w:ascii="宋体" w:hAnsi="宋体" w:eastAsia="宋体" w:cs="宋体"/>
                <w:b/>
                <w:bCs/>
                <w:color w:val="000000" w:themeColor="text1"/>
                <w:kern w:val="0"/>
                <w:sz w:val="24"/>
                <w:szCs w:val="24"/>
              </w:rPr>
              <w:t>石狮服装城监控系统及消防控制中心系统改造项目工程量清单</w:t>
            </w:r>
          </w:p>
        </w:tc>
      </w:tr>
      <w:tr>
        <w:tblPrEx>
          <w:tblCellMar>
            <w:top w:w="0" w:type="dxa"/>
            <w:left w:w="108" w:type="dxa"/>
            <w:bottom w:w="0" w:type="dxa"/>
            <w:right w:w="108" w:type="dxa"/>
          </w:tblCellMar>
        </w:tblPrEx>
        <w:trPr>
          <w:trHeight w:val="270" w:hRule="atLeast"/>
        </w:trPr>
        <w:tc>
          <w:tcPr>
            <w:tcW w:w="5000" w:type="pct"/>
            <w:gridSpan w:val="5"/>
            <w:tcBorders>
              <w:top w:val="nil"/>
              <w:left w:val="nil"/>
              <w:bottom w:val="nil"/>
              <w:right w:val="nil"/>
            </w:tcBorders>
            <w:shd w:val="clear" w:color="auto" w:fill="auto"/>
            <w:noWrap/>
            <w:vAlign w:val="center"/>
          </w:tcPr>
          <w:p>
            <w:pPr>
              <w:widowControl/>
              <w:jc w:val="left"/>
              <w:rPr>
                <w:rFonts w:ascii="宋体" w:hAnsi="宋体" w:eastAsia="宋体" w:cs="宋体"/>
                <w:b/>
                <w:bCs/>
                <w:color w:val="000000" w:themeColor="text1"/>
                <w:kern w:val="0"/>
                <w:sz w:val="24"/>
                <w:szCs w:val="24"/>
              </w:rPr>
            </w:pPr>
          </w:p>
          <w:p>
            <w:pPr>
              <w:widowControl/>
              <w:jc w:val="left"/>
              <w:rPr>
                <w:rFonts w:ascii="宋体" w:hAnsi="宋体" w:eastAsia="宋体" w:cs="宋体"/>
                <w:b/>
                <w:bCs/>
                <w:color w:val="000000"/>
                <w:kern w:val="0"/>
                <w:szCs w:val="21"/>
              </w:rPr>
            </w:pPr>
            <w:r>
              <w:rPr>
                <w:rFonts w:hint="eastAsia" w:ascii="宋体" w:hAnsi="宋体" w:eastAsia="宋体" w:cs="宋体"/>
                <w:b/>
                <w:bCs/>
                <w:color w:val="000000" w:themeColor="text1"/>
                <w:kern w:val="0"/>
                <w:sz w:val="24"/>
                <w:szCs w:val="24"/>
              </w:rPr>
              <w:t>（一）、安防监控系统</w:t>
            </w:r>
          </w:p>
        </w:tc>
      </w:tr>
      <w:tr>
        <w:tblPrEx>
          <w:tblCellMar>
            <w:top w:w="0" w:type="dxa"/>
            <w:left w:w="108" w:type="dxa"/>
            <w:bottom w:w="0" w:type="dxa"/>
            <w:right w:w="108" w:type="dxa"/>
          </w:tblCellMar>
        </w:tblPrEx>
        <w:trPr>
          <w:trHeight w:val="832" w:hRule="atLeast"/>
        </w:trPr>
        <w:tc>
          <w:tcPr>
            <w:tcW w:w="339" w:type="pct"/>
            <w:tcBorders>
              <w:top w:val="single" w:color="auto" w:sz="8" w:space="0"/>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序号</w:t>
            </w:r>
          </w:p>
        </w:tc>
        <w:tc>
          <w:tcPr>
            <w:tcW w:w="722" w:type="pct"/>
            <w:tcBorders>
              <w:top w:val="single" w:color="auto" w:sz="8" w:space="0"/>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设备名称</w:t>
            </w:r>
          </w:p>
        </w:tc>
        <w:tc>
          <w:tcPr>
            <w:tcW w:w="2941" w:type="pct"/>
            <w:tcBorders>
              <w:top w:val="single" w:color="auto" w:sz="8" w:space="0"/>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主要设备技术参数</w:t>
            </w:r>
          </w:p>
        </w:tc>
        <w:tc>
          <w:tcPr>
            <w:tcW w:w="446" w:type="pct"/>
            <w:tcBorders>
              <w:top w:val="single" w:color="auto" w:sz="8" w:space="0"/>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单位</w:t>
            </w:r>
          </w:p>
        </w:tc>
        <w:tc>
          <w:tcPr>
            <w:tcW w:w="552" w:type="pct"/>
            <w:tcBorders>
              <w:top w:val="single" w:color="auto" w:sz="8" w:space="0"/>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数量</w:t>
            </w:r>
          </w:p>
        </w:tc>
      </w:tr>
      <w:tr>
        <w:tblPrEx>
          <w:tblCellMar>
            <w:top w:w="0" w:type="dxa"/>
            <w:left w:w="108" w:type="dxa"/>
            <w:bottom w:w="0" w:type="dxa"/>
            <w:right w:w="108" w:type="dxa"/>
          </w:tblCellMar>
        </w:tblPrEx>
        <w:trPr>
          <w:trHeight w:val="756"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一</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前端设备</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　</w:t>
            </w:r>
          </w:p>
        </w:tc>
        <w:tc>
          <w:tcPr>
            <w:tcW w:w="446"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　</w:t>
            </w:r>
          </w:p>
        </w:tc>
        <w:tc>
          <w:tcPr>
            <w:tcW w:w="552" w:type="pct"/>
            <w:tcBorders>
              <w:top w:val="nil"/>
              <w:left w:val="nil"/>
              <w:bottom w:val="single" w:color="000000" w:sz="8" w:space="0"/>
              <w:right w:val="single" w:color="auto" w:sz="8" w:space="0"/>
            </w:tcBorders>
            <w:shd w:val="clear" w:color="auto" w:fill="auto"/>
            <w:vAlign w:val="center"/>
          </w:tcPr>
          <w:p>
            <w:pPr>
              <w:widowControl/>
              <w:jc w:val="left"/>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　</w:t>
            </w:r>
          </w:p>
        </w:tc>
      </w:tr>
      <w:tr>
        <w:tblPrEx>
          <w:tblCellMar>
            <w:top w:w="0" w:type="dxa"/>
            <w:left w:w="108" w:type="dxa"/>
            <w:bottom w:w="0" w:type="dxa"/>
            <w:right w:w="108" w:type="dxa"/>
          </w:tblCellMar>
        </w:tblPrEx>
        <w:trPr>
          <w:trHeight w:val="270" w:hRule="atLeast"/>
        </w:trPr>
        <w:tc>
          <w:tcPr>
            <w:tcW w:w="339" w:type="pct"/>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kern w:val="0"/>
                <w:sz w:val="24"/>
                <w:szCs w:val="24"/>
              </w:rPr>
              <w:t>1</w:t>
            </w:r>
          </w:p>
        </w:tc>
        <w:tc>
          <w:tcPr>
            <w:tcW w:w="722"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kern w:val="0"/>
                <w:sz w:val="24"/>
                <w:szCs w:val="24"/>
              </w:rPr>
              <w:t>200万像素室内红外网络半球摄像机</w:t>
            </w: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 xml:space="preserve">   </w:t>
            </w:r>
            <w:r>
              <w:rPr>
                <w:rFonts w:hint="eastAsia" w:ascii="宋体" w:hAnsi="宋体" w:eastAsia="宋体" w:cs="宋体"/>
                <w:kern w:val="0"/>
                <w:sz w:val="24"/>
                <w:szCs w:val="24"/>
              </w:rPr>
              <w:t>具有≥200万像素CMOS传感器；</w:t>
            </w:r>
          </w:p>
        </w:tc>
        <w:tc>
          <w:tcPr>
            <w:tcW w:w="44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552" w:type="pct"/>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33</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 xml:space="preserve">   </w:t>
            </w:r>
            <w:r>
              <w:rPr>
                <w:rFonts w:hint="eastAsia" w:ascii="宋体" w:hAnsi="宋体" w:eastAsia="宋体" w:cs="宋体"/>
                <w:kern w:val="0"/>
                <w:sz w:val="24"/>
                <w:szCs w:val="24"/>
              </w:rPr>
              <w:t>最低照度：彩色≤0.001lx，黑白≤0.0001lx，灰度等级≥11级；</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 xml:space="preserve">   </w:t>
            </w:r>
            <w:r>
              <w:rPr>
                <w:rFonts w:hint="eastAsia" w:ascii="宋体" w:hAnsi="宋体" w:eastAsia="宋体" w:cs="宋体"/>
                <w:kern w:val="0"/>
                <w:sz w:val="24"/>
                <w:szCs w:val="24"/>
              </w:rPr>
              <w:t>红外补光距离≥50米，动态范围≥102dB；</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 xml:space="preserve">   </w:t>
            </w:r>
            <w:r>
              <w:rPr>
                <w:rFonts w:hint="eastAsia" w:ascii="宋体" w:hAnsi="宋体" w:eastAsia="宋体" w:cs="宋体"/>
                <w:kern w:val="0"/>
                <w:sz w:val="24"/>
                <w:szCs w:val="24"/>
              </w:rPr>
              <w:t>在1920x1080@25fps下，清晰度≥1000TVL；</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5)</w:t>
            </w:r>
            <w:r>
              <w:rPr>
                <w:rFonts w:ascii="宋体" w:hAnsi="宋体" w:eastAsia="宋体" w:cs="宋体"/>
                <w:kern w:val="0"/>
                <w:sz w:val="24"/>
                <w:szCs w:val="24"/>
              </w:rPr>
              <w:t xml:space="preserve">   </w:t>
            </w:r>
            <w:r>
              <w:rPr>
                <w:rFonts w:hint="eastAsia" w:ascii="宋体" w:hAnsi="宋体" w:eastAsia="宋体" w:cs="宋体"/>
                <w:kern w:val="0"/>
                <w:sz w:val="24"/>
                <w:szCs w:val="24"/>
              </w:rPr>
              <w:t>支持H.264、H.265、MJPEG视频编码格式，且具有HighProfile编码能力；</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2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6)</w:t>
            </w:r>
            <w:r>
              <w:rPr>
                <w:rFonts w:ascii="宋体" w:hAnsi="宋体" w:eastAsia="宋体" w:cs="宋体"/>
                <w:kern w:val="0"/>
                <w:sz w:val="24"/>
                <w:szCs w:val="24"/>
              </w:rPr>
              <w:t xml:space="preserve">   </w:t>
            </w:r>
            <w:r>
              <w:rPr>
                <w:rFonts w:hint="eastAsia" w:ascii="宋体" w:hAnsi="宋体" w:eastAsia="宋体" w:cs="宋体"/>
                <w:kern w:val="0"/>
                <w:sz w:val="24"/>
                <w:szCs w:val="24"/>
              </w:rPr>
              <w:t>需具备人脸检测、区域入侵检测、越界检测、虚焦检测、进入区域、离开区域、徘徊、人员聚集、逆行、场景变更等功能；</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2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kern w:val="0"/>
                <w:sz w:val="24"/>
                <w:szCs w:val="24"/>
              </w:rPr>
              <w:t>7)</w:t>
            </w:r>
            <w:r>
              <w:rPr>
                <w:rFonts w:ascii="宋体" w:hAnsi="宋体" w:eastAsia="宋体" w:cs="宋体"/>
                <w:kern w:val="0"/>
                <w:sz w:val="24"/>
                <w:szCs w:val="24"/>
              </w:rPr>
              <w:t xml:space="preserve">   </w:t>
            </w:r>
            <w:r>
              <w:rPr>
                <w:rFonts w:hint="eastAsia" w:ascii="宋体" w:hAnsi="宋体" w:eastAsia="宋体" w:cs="宋体"/>
                <w:kern w:val="0"/>
                <w:sz w:val="24"/>
                <w:szCs w:val="24"/>
              </w:rPr>
              <w:t>同一静止场景相同图像质量下，设备在H.265编码方式时，开启智能编码功能和不开启智能编码相比，码率节约≥1/2；</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kern w:val="0"/>
                <w:sz w:val="24"/>
                <w:szCs w:val="24"/>
              </w:rPr>
              <w:t>8)</w:t>
            </w:r>
            <w:r>
              <w:rPr>
                <w:rFonts w:ascii="宋体" w:hAnsi="宋体" w:eastAsia="宋体" w:cs="宋体"/>
                <w:kern w:val="0"/>
                <w:sz w:val="24"/>
                <w:szCs w:val="24"/>
              </w:rPr>
              <w:t xml:space="preserve">   </w:t>
            </w:r>
            <w:r>
              <w:rPr>
                <w:rFonts w:hint="eastAsia" w:ascii="宋体" w:hAnsi="宋体" w:eastAsia="宋体" w:cs="宋体"/>
                <w:kern w:val="0"/>
                <w:sz w:val="24"/>
                <w:szCs w:val="24"/>
              </w:rPr>
              <w:t>防护等级需≥IP67，工作温度需满足-30℃~60℃；</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9)</w:t>
            </w:r>
            <w:r>
              <w:rPr>
                <w:rFonts w:ascii="宋体" w:hAnsi="宋体" w:eastAsia="宋体" w:cs="宋体"/>
                <w:kern w:val="0"/>
                <w:sz w:val="24"/>
                <w:szCs w:val="24"/>
              </w:rPr>
              <w:t xml:space="preserve">   </w:t>
            </w:r>
            <w:r>
              <w:rPr>
                <w:rFonts w:hint="eastAsia" w:ascii="宋体" w:hAnsi="宋体" w:eastAsia="宋体" w:cs="宋体"/>
                <w:kern w:val="0"/>
                <w:sz w:val="24"/>
                <w:szCs w:val="24"/>
              </w:rPr>
              <w:t>需具有≥1个RJ45 10M/100M自适应以太网口；</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10)</w:t>
            </w:r>
            <w:r>
              <w:rPr>
                <w:rFonts w:ascii="宋体" w:hAnsi="宋体" w:eastAsia="宋体" w:cs="宋体"/>
                <w:kern w:val="0"/>
                <w:sz w:val="24"/>
                <w:szCs w:val="24"/>
              </w:rPr>
              <w:t xml:space="preserve">  </w:t>
            </w:r>
            <w:r>
              <w:rPr>
                <w:rFonts w:hint="eastAsia" w:ascii="宋体" w:hAnsi="宋体" w:eastAsia="宋体" w:cs="宋体"/>
                <w:kern w:val="0"/>
                <w:sz w:val="24"/>
                <w:szCs w:val="24"/>
              </w:rPr>
              <w:t>需支持DC12V/POE供电，且在≥DC12V±30%范围内变化时可以正常工作。</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85" w:hRule="atLeast"/>
        </w:trPr>
        <w:tc>
          <w:tcPr>
            <w:tcW w:w="339" w:type="pct"/>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722"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200万像素枪式一体机摄像机</w:t>
            </w: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1)最大分辨率和帧率≥1920×1080 @25fps；</w:t>
            </w:r>
          </w:p>
        </w:tc>
        <w:tc>
          <w:tcPr>
            <w:tcW w:w="446" w:type="pct"/>
            <w:vMerge w:val="restart"/>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552" w:type="pct"/>
            <w:vMerge w:val="restart"/>
            <w:tcBorders>
              <w:top w:val="nil"/>
              <w:left w:val="single" w:color="000000" w:sz="8" w:space="0"/>
              <w:bottom w:val="single" w:color="000000" w:sz="8" w:space="0"/>
              <w:right w:val="single" w:color="auto" w:sz="8"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1190</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2)最低照度彩色需≤0.001 lx；</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 xml:space="preserve"> </w:t>
            </w:r>
            <w:r>
              <w:rPr>
                <w:rFonts w:hint="eastAsia" w:ascii="宋体" w:hAnsi="宋体" w:eastAsia="宋体" w:cs="宋体"/>
                <w:kern w:val="0"/>
                <w:sz w:val="24"/>
                <w:szCs w:val="24"/>
              </w:rPr>
              <w:t>视频压缩标准需支持H.265/H.264；</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4)需支持宽动态，动态范围≥105dB；</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5)需支持对存储卡进行读写锁定，锁定后的存储卡在移动终端需要密码才能访问；</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76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支持记录系统操作、配置操作、数据操作、事件操作、异常状态、用户管理、清空日志八种类型的日志信息；可按照主类型、次类型、开始时间、结束时间搜索日志，主类型有全部类型、报警、异常、操作、信息五种类型；次类型可在主类型限定范围内按功能细分搜索的日志范围。</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1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2941" w:type="pct"/>
            <w:tcBorders>
              <w:top w:val="nil"/>
              <w:left w:val="nil"/>
              <w:bottom w:val="nil"/>
              <w:right w:val="single" w:color="000000" w:sz="8" w:space="0"/>
            </w:tcBorders>
            <w:shd w:val="clear" w:color="000000" w:fill="FFFFFF"/>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6）字符叠加(OSD)功能支持在视频图像上叠加≥28行字符，字符可选择项包括通道名称、时间、日期等，字体、颜色、位置、闪烁、滚动效果可设置。</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2941" w:type="pct"/>
            <w:tcBorders>
              <w:top w:val="nil"/>
              <w:left w:val="nil"/>
              <w:bottom w:val="nil"/>
              <w:right w:val="single" w:color="000000" w:sz="8" w:space="0"/>
            </w:tcBorders>
            <w:shd w:val="clear" w:color="000000" w:fill="FFFFFF"/>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7）需具有≥1个RJ45 10M/100M自适应以太网口；</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2941" w:type="pct"/>
            <w:tcBorders>
              <w:top w:val="nil"/>
              <w:left w:val="nil"/>
              <w:bottom w:val="nil"/>
              <w:right w:val="single" w:color="000000" w:sz="8" w:space="0"/>
            </w:tcBorders>
            <w:shd w:val="clear" w:color="000000" w:fill="FFFFFF"/>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8）红外照射距离≥30米；</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2941" w:type="pct"/>
            <w:tcBorders>
              <w:top w:val="nil"/>
              <w:left w:val="nil"/>
              <w:bottom w:val="single" w:color="000000" w:sz="8" w:space="0"/>
              <w:right w:val="single" w:color="000000" w:sz="8" w:space="0"/>
            </w:tcBorders>
            <w:shd w:val="clear" w:color="000000" w:fill="FFFFFF"/>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9）需支持PoE供电，外壳防护等级需≥IP67</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trPr>
        <w:tc>
          <w:tcPr>
            <w:tcW w:w="339" w:type="pct"/>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22"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200万像素快球摄像机</w:t>
            </w: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 内置2个镜头，可以输出两路视频图像，1路全景视频图像、1路细节视频图像,内置2颗GPU芯片</w:t>
            </w:r>
          </w:p>
        </w:tc>
        <w:tc>
          <w:tcPr>
            <w:tcW w:w="44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552" w:type="pct"/>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79</w:t>
            </w:r>
          </w:p>
        </w:tc>
      </w:tr>
      <w:tr>
        <w:tblPrEx>
          <w:tblCellMar>
            <w:top w:w="0" w:type="dxa"/>
            <w:left w:w="108" w:type="dxa"/>
            <w:bottom w:w="0" w:type="dxa"/>
            <w:right w:w="108" w:type="dxa"/>
          </w:tblCellMar>
        </w:tblPrEx>
        <w:trPr>
          <w:trHeight w:val="51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 视频输出支持2560×1440@25fps，分辨力不小于1400TVL，红外距离可达300米细节镜头支持23倍光学变倍,设备支持可见光补光</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3) 支持最低照度可达彩色0.0002Lux，黑白0.0001Lux</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 支持水平手控速度不小于550°/S，垂直速度不小于120°/S，云台定位精度为±0.1°水平旋转范围为360°连续旋转，垂直旋转范围为-20°~90°</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5) 支持对镜头前盖玻璃加热，去除玻璃上的冰状和水状附着物。</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6) 支持快捷配置功能，可在预览画面开启/关闭“快捷配置”页面，对曝光参数、OSD、智能资源分配模式等参数进行配置，并可一键恢复为默认设置。</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76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7) 支持循环跟踪功能，当全景视频图像中有多个目标触发报警事件后，细节视频图像可联动对多个目标循环跟踪。支持300个预置位，可按照所设置的预置位完成不小于8条巡航路径，支持不小于4条模式路径设置，支持预置位视频冻结功能；可实现RS485接口优先或RJ45网络接口优先控制功能</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8) 球机应具备本机存储功能，支持SD卡热插拔，最大支持256GB</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9) 支持采用H.265、H.264视频编码标准，H.264编码支持Baseline/Main/High Profile，音频编码支持G.711ulaw/G.711alaw/G.726/G.722.1</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10) 支持GB28181协议</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11) 支持区域入侵、越界入侵、徘徊、物品移除、物品遗留、人员聚集、停车、快速移动，并联动报警</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12) 具备较好的防护性能环境适应性，支持IP67，6kV防浪涌，工作温度范围可达-40℃-70℃</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13) 具备较好的电源适应性，电压在DC36V±30%范围内变化时，设备可正常工作。</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22"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客流摄像机</w:t>
            </w: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 具有800万像素 CMOS传感器。</w:t>
            </w:r>
          </w:p>
        </w:tc>
        <w:tc>
          <w:tcPr>
            <w:tcW w:w="44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552" w:type="pct"/>
            <w:vMerge w:val="restart"/>
            <w:tcBorders>
              <w:top w:val="nil"/>
              <w:left w:val="single" w:color="000000" w:sz="8" w:space="0"/>
              <w:bottom w:val="single" w:color="000000" w:sz="8" w:space="0"/>
              <w:right w:val="single" w:color="auto"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10</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2)具有不小于1/1.8"靶面尺寸。</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3)内置GPU芯片。</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 最低照度彩色不大于0.0002 lx，黑白不大于0.0001 lx。</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5自带白光补光灯，补光距离不小于60米。</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6) 白光补光灯支持远程开启和关闭，并可分别调节远光灯和近光灯的亮度。</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7) 设备水平中心分辨力不小于2000TVL。</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6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8支持H.264、H.265、MJPEG视频编码格式，且具有High Profile编码能力。</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9) 需支持四码流技术，主码流分辨率不小于3840x2160@25fps，子码流不小于704x576@25fps，第三码流不小于1920x1080@25fps，第四码流不小于704x576@25fps。</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10) 支持亮度异常、清晰度异常、花屏、雪花、偏色、画面冻结、增益失衡、画面抖动、条纹干扰、信号丢失、视频遮挡、光晕、紫边等故障报警功能。</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11)具备OSD叠加功能，支持叠加的OSD可以在屏幕中滚动显示，叠加的OSD信息可以通过鼠标滚动进行放大缩小操作。</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12)支持单场景同时检出不少于30张人脸图片，并支持面部跟踪。</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13)支持侧脸过滤功能，可过滤上下、左右角度达到预设值的人脸。</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14)支持双向统计客流量及统计重复客流数量，并将统计结果实时叠加在监控画面上。</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15)客流统计准确率不小于99%，重复人员计数准确率不小于99%。</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16)需具有1个RJ45网络接口、1路CVBS视频输出、3路报警输入、2路报警输出接口、2个音频输入、1个音频输出接口。</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17) 支持开启、关闭eMMC保护功能。</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18) 需支持IP67防尘防水。</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19)需同时支持DC12V和POE供电，且在不小于DC12V±30%范围内变化时可以正常工作。</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339" w:type="pc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吊装支架</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吊装支架</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10</w:t>
            </w:r>
          </w:p>
        </w:tc>
      </w:tr>
      <w:tr>
        <w:tblPrEx>
          <w:tblCellMar>
            <w:top w:w="0" w:type="dxa"/>
            <w:left w:w="108" w:type="dxa"/>
            <w:bottom w:w="0" w:type="dxa"/>
            <w:right w:w="108" w:type="dxa"/>
          </w:tblCellMar>
        </w:tblPrEx>
        <w:trPr>
          <w:trHeight w:val="285" w:hRule="atLeast"/>
        </w:trPr>
        <w:tc>
          <w:tcPr>
            <w:tcW w:w="339" w:type="pc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枪机支架</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壁装支架</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552" w:type="pct"/>
            <w:tcBorders>
              <w:top w:val="nil"/>
              <w:left w:val="nil"/>
              <w:bottom w:val="single" w:color="000000" w:sz="8" w:space="0"/>
              <w:right w:val="single" w:color="auto" w:sz="8" w:space="0"/>
            </w:tcBorders>
            <w:shd w:val="clear" w:color="auto" w:fill="auto"/>
            <w:vAlign w:val="center"/>
          </w:tcPr>
          <w:p>
            <w:pPr>
              <w:widowControl/>
              <w:rPr>
                <w:rFonts w:ascii="宋体" w:hAnsi="宋体" w:eastAsia="宋体" w:cs="宋体"/>
                <w:kern w:val="0"/>
                <w:sz w:val="24"/>
                <w:szCs w:val="24"/>
              </w:rPr>
            </w:pPr>
            <w:r>
              <w:rPr>
                <w:rFonts w:ascii="宋体" w:hAnsi="宋体" w:eastAsia="宋体" w:cs="宋体"/>
                <w:kern w:val="0"/>
                <w:sz w:val="24"/>
                <w:szCs w:val="24"/>
              </w:rPr>
              <w:t>1190</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球机支架</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壁装支架</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79</w:t>
            </w:r>
          </w:p>
        </w:tc>
      </w:tr>
      <w:tr>
        <w:tblPrEx>
          <w:tblCellMar>
            <w:top w:w="0" w:type="dxa"/>
            <w:left w:w="108" w:type="dxa"/>
            <w:bottom w:w="0" w:type="dxa"/>
            <w:right w:w="108" w:type="dxa"/>
          </w:tblCellMar>
        </w:tblPrEx>
        <w:trPr>
          <w:trHeight w:val="270" w:hRule="atLeast"/>
        </w:trPr>
        <w:tc>
          <w:tcPr>
            <w:tcW w:w="339" w:type="pct"/>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722"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电梯轿厢摄像机</w:t>
            </w: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 需具有CMOS传感器，分辨率≥1920×1080；</w:t>
            </w:r>
          </w:p>
        </w:tc>
        <w:tc>
          <w:tcPr>
            <w:tcW w:w="44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552" w:type="pct"/>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39</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 需支持3轴调整，支持MicroSD卡存储,最大容量128GB；</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3) 最低照度彩色需≤0.01 lx；</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 需自带专用传感器,支持电梯楼层信息叠加；</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5) 视频压缩标准需支持H.265/H.264/MJPEG；</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6) 需支持智能后检索功能；</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7) 需具有≥1个RJ4510M/100M自适应以太网口、≥1个RS-485接口、内置麦克风；</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8) 需支持PoE供电；</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9) 需支持红外补光；</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10) 防护等级需≥IP66，防暴等级需≥IK08。</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722"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无线网桥</w:t>
            </w: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 5.8G电梯网桥，802.11ac制式；</w:t>
            </w:r>
          </w:p>
        </w:tc>
        <w:tc>
          <w:tcPr>
            <w:tcW w:w="44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c>
          <w:tcPr>
            <w:tcW w:w="552" w:type="pct"/>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39</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 成对包装，距离500米；</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3) 单网口设计；</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 定向天线。</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722"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楼层叠加器</w:t>
            </w: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1.网络接口：网口2个，集成交换机功能</w:t>
            </w:r>
          </w:p>
        </w:tc>
        <w:tc>
          <w:tcPr>
            <w:tcW w:w="44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c>
          <w:tcPr>
            <w:tcW w:w="552" w:type="pct"/>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39</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2.传感器:工业级插头,光电对射，磁感应</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3.抗干扰类型:数字信号抗干扰</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4.显示位置 :全屏位置可调</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5.具备电梯楼层自动校准功能，在电梯从最底层运行至最高层时，应能自动完成楼层校准。</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6.能在摄像机监控画面上叠加显示电梯楼层、电梯上行、电梯下行及停止状态信息。</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7.支持4种平层传感器，多种平层传感器（集成U型光电传感器、分离光电传感器、集成双路磁感、电梯烟杆）接入</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8.应能通过配置软件输入对应摄像机IP地址、端口号、登录用户名、密码等参数，实现设备与网络摄像机的绑定。</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电源箱</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400*300*120</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12</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设备箱</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800*600*200</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85</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13</w:t>
            </w:r>
          </w:p>
        </w:tc>
        <w:tc>
          <w:tcPr>
            <w:tcW w:w="722" w:type="pct"/>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室外防水设备箱</w:t>
            </w:r>
          </w:p>
        </w:tc>
        <w:tc>
          <w:tcPr>
            <w:tcW w:w="2941" w:type="pct"/>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650*450*120</w:t>
            </w:r>
          </w:p>
        </w:tc>
        <w:tc>
          <w:tcPr>
            <w:tcW w:w="446" w:type="pct"/>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552" w:type="pct"/>
            <w:tcBorders>
              <w:top w:val="nil"/>
              <w:left w:val="nil"/>
              <w:bottom w:val="single" w:color="000000" w:sz="8" w:space="0"/>
              <w:right w:val="single" w:color="auto" w:sz="8"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w:t>
            </w:r>
          </w:p>
        </w:tc>
      </w:tr>
      <w:tr>
        <w:tblPrEx>
          <w:tblCellMar>
            <w:top w:w="0" w:type="dxa"/>
            <w:left w:w="108" w:type="dxa"/>
            <w:bottom w:w="0" w:type="dxa"/>
            <w:right w:w="108" w:type="dxa"/>
          </w:tblCellMar>
        </w:tblPrEx>
        <w:trPr>
          <w:trHeight w:val="285" w:hRule="atLeast"/>
        </w:trPr>
        <w:tc>
          <w:tcPr>
            <w:tcW w:w="339" w:type="pc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14</w:t>
            </w:r>
          </w:p>
        </w:tc>
        <w:tc>
          <w:tcPr>
            <w:tcW w:w="722" w:type="pct"/>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光纤盒</w:t>
            </w:r>
          </w:p>
        </w:tc>
        <w:tc>
          <w:tcPr>
            <w:tcW w:w="2941" w:type="pct"/>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8口</w:t>
            </w:r>
          </w:p>
        </w:tc>
        <w:tc>
          <w:tcPr>
            <w:tcW w:w="446" w:type="pct"/>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552" w:type="pct"/>
            <w:tcBorders>
              <w:top w:val="nil"/>
              <w:left w:val="nil"/>
              <w:bottom w:val="single" w:color="000000" w:sz="8" w:space="0"/>
              <w:right w:val="single" w:color="auto" w:sz="8" w:space="0"/>
            </w:tcBorders>
            <w:shd w:val="clear" w:color="000000" w:fill="FFFFFF"/>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94</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722" w:type="pct"/>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LC双工藕合器</w:t>
            </w:r>
          </w:p>
        </w:tc>
        <w:tc>
          <w:tcPr>
            <w:tcW w:w="2941" w:type="pct"/>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国标</w:t>
            </w:r>
          </w:p>
        </w:tc>
        <w:tc>
          <w:tcPr>
            <w:tcW w:w="446" w:type="pct"/>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552" w:type="pct"/>
            <w:tcBorders>
              <w:top w:val="nil"/>
              <w:left w:val="nil"/>
              <w:bottom w:val="single" w:color="000000" w:sz="8" w:space="0"/>
              <w:right w:val="single" w:color="auto" w:sz="8"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196</w:t>
            </w:r>
          </w:p>
        </w:tc>
      </w:tr>
      <w:tr>
        <w:tblPrEx>
          <w:tblCellMar>
            <w:top w:w="0" w:type="dxa"/>
            <w:left w:w="108" w:type="dxa"/>
            <w:bottom w:w="0" w:type="dxa"/>
            <w:right w:w="108" w:type="dxa"/>
          </w:tblCellMar>
        </w:tblPrEx>
        <w:trPr>
          <w:trHeight w:val="270" w:hRule="atLeast"/>
        </w:trPr>
        <w:tc>
          <w:tcPr>
            <w:tcW w:w="339" w:type="pct"/>
            <w:vMerge w:val="restart"/>
            <w:tcBorders>
              <w:top w:val="nil"/>
              <w:left w:val="single" w:color="auto" w:sz="8" w:space="0"/>
              <w:bottom w:val="nil"/>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16</w:t>
            </w:r>
          </w:p>
        </w:tc>
        <w:tc>
          <w:tcPr>
            <w:tcW w:w="722" w:type="pct"/>
            <w:vMerge w:val="restart"/>
            <w:tcBorders>
              <w:top w:val="nil"/>
              <w:left w:val="single" w:color="000000" w:sz="8" w:space="0"/>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跳线</w:t>
            </w:r>
          </w:p>
        </w:tc>
        <w:tc>
          <w:tcPr>
            <w:tcW w:w="2941" w:type="pct"/>
            <w:tcBorders>
              <w:top w:val="nil"/>
              <w:left w:val="nil"/>
              <w:bottom w:val="nil"/>
              <w:right w:val="single" w:color="000000" w:sz="8" w:space="0"/>
            </w:tcBorders>
            <w:shd w:val="clear" w:color="000000" w:fill="FFFFFF"/>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1.规格：六类4对非屏蔽RJ45-RJ45跳线，带宽达到250MHz；</w:t>
            </w:r>
          </w:p>
        </w:tc>
        <w:tc>
          <w:tcPr>
            <w:tcW w:w="446" w:type="pct"/>
            <w:vMerge w:val="restart"/>
            <w:tcBorders>
              <w:top w:val="nil"/>
              <w:left w:val="single" w:color="000000" w:sz="8" w:space="0"/>
              <w:bottom w:val="nil"/>
              <w:right w:val="single" w:color="000000" w:sz="8"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条</w:t>
            </w:r>
          </w:p>
        </w:tc>
        <w:tc>
          <w:tcPr>
            <w:tcW w:w="552" w:type="pct"/>
            <w:vMerge w:val="restart"/>
            <w:tcBorders>
              <w:top w:val="nil"/>
              <w:left w:val="single" w:color="000000" w:sz="8" w:space="0"/>
              <w:bottom w:val="nil"/>
              <w:right w:val="single" w:color="auto" w:sz="8" w:space="0"/>
            </w:tcBorders>
            <w:shd w:val="clear" w:color="000000" w:fill="FFFFFF"/>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17</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2. 导体：30AWG；</w:t>
            </w:r>
          </w:p>
        </w:tc>
        <w:tc>
          <w:tcPr>
            <w:tcW w:w="446" w:type="pct"/>
            <w:vMerge w:val="continue"/>
            <w:tcBorders>
              <w:top w:val="nil"/>
              <w:left w:val="single" w:color="000000"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nil"/>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3.外径：3.0mm±0.2mm，线径细，柔软度好，方便机房理线和跳接管理；</w:t>
            </w:r>
          </w:p>
        </w:tc>
        <w:tc>
          <w:tcPr>
            <w:tcW w:w="446" w:type="pct"/>
            <w:vMerge w:val="continue"/>
            <w:tcBorders>
              <w:top w:val="nil"/>
              <w:left w:val="single" w:color="000000"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nil"/>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4.芯线：8根芯线采用多股软铜线，每根芯线带有彩色绝缘层；</w:t>
            </w:r>
          </w:p>
        </w:tc>
        <w:tc>
          <w:tcPr>
            <w:tcW w:w="446" w:type="pct"/>
            <w:vMerge w:val="continue"/>
            <w:tcBorders>
              <w:top w:val="nil"/>
              <w:left w:val="single" w:color="000000"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nil"/>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5.特性：符合ANSI/TIA-568-C.2六类规范；单体100%通过fluke；</w:t>
            </w:r>
          </w:p>
        </w:tc>
        <w:tc>
          <w:tcPr>
            <w:tcW w:w="446" w:type="pct"/>
            <w:vMerge w:val="continue"/>
            <w:tcBorders>
              <w:top w:val="nil"/>
              <w:left w:val="single" w:color="000000"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nil"/>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339" w:type="pc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17</w:t>
            </w:r>
          </w:p>
        </w:tc>
        <w:tc>
          <w:tcPr>
            <w:tcW w:w="722" w:type="pct"/>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跳线</w:t>
            </w:r>
          </w:p>
        </w:tc>
        <w:tc>
          <w:tcPr>
            <w:tcW w:w="2941" w:type="pct"/>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HDMI线</w:t>
            </w:r>
          </w:p>
        </w:tc>
        <w:tc>
          <w:tcPr>
            <w:tcW w:w="446" w:type="pct"/>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条</w:t>
            </w:r>
          </w:p>
        </w:tc>
        <w:tc>
          <w:tcPr>
            <w:tcW w:w="552" w:type="pct"/>
            <w:tcBorders>
              <w:top w:val="nil"/>
              <w:left w:val="nil"/>
              <w:bottom w:val="single" w:color="000000" w:sz="8" w:space="0"/>
              <w:right w:val="single" w:color="auto" w:sz="8" w:space="0"/>
            </w:tcBorders>
            <w:shd w:val="clear" w:color="000000" w:fill="FFFFFF"/>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28</w:t>
            </w:r>
          </w:p>
        </w:tc>
      </w:tr>
      <w:tr>
        <w:tblPrEx>
          <w:tblCellMar>
            <w:top w:w="0" w:type="dxa"/>
            <w:left w:w="108" w:type="dxa"/>
            <w:bottom w:w="0" w:type="dxa"/>
            <w:right w:w="108" w:type="dxa"/>
          </w:tblCellMar>
        </w:tblPrEx>
        <w:trPr>
          <w:trHeight w:val="285" w:hRule="atLeast"/>
        </w:trPr>
        <w:tc>
          <w:tcPr>
            <w:tcW w:w="339" w:type="pct"/>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18</w:t>
            </w:r>
          </w:p>
        </w:tc>
        <w:tc>
          <w:tcPr>
            <w:tcW w:w="722" w:type="pct"/>
            <w:vMerge w:val="restart"/>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24口POE交换机</w:t>
            </w:r>
          </w:p>
        </w:tc>
        <w:tc>
          <w:tcPr>
            <w:tcW w:w="2941" w:type="pct"/>
            <w:tcBorders>
              <w:top w:val="nil"/>
              <w:left w:val="nil"/>
              <w:bottom w:val="nil"/>
              <w:right w:val="single" w:color="000000" w:sz="8" w:space="0"/>
            </w:tcBorders>
            <w:shd w:val="clear" w:color="000000" w:fill="FFFFFF"/>
            <w:vAlign w:val="center"/>
          </w:tcPr>
          <w:p>
            <w:pPr>
              <w:widowControl/>
              <w:rPr>
                <w:rFonts w:ascii="宋体" w:hAnsi="宋体" w:eastAsia="宋体" w:cs="宋体"/>
                <w:kern w:val="0"/>
                <w:sz w:val="24"/>
                <w:szCs w:val="24"/>
              </w:rPr>
            </w:pPr>
            <w:r>
              <w:rPr>
                <w:rFonts w:ascii="宋体" w:hAnsi="宋体" w:eastAsia="宋体" w:cs="宋体"/>
                <w:kern w:val="0"/>
                <w:sz w:val="24"/>
                <w:szCs w:val="24"/>
              </w:rPr>
              <w:t xml:space="preserve">1 </w:t>
            </w:r>
            <w:r>
              <w:rPr>
                <w:rFonts w:hint="eastAsia" w:ascii="宋体" w:hAnsi="宋体" w:eastAsia="宋体" w:cs="宋体"/>
                <w:kern w:val="0"/>
                <w:sz w:val="24"/>
                <w:szCs w:val="24"/>
              </w:rPr>
              <w:t>交换容量</w:t>
            </w:r>
            <w:r>
              <w:rPr>
                <w:rFonts w:ascii="宋体" w:hAnsi="宋体" w:eastAsia="宋体" w:cs="宋体"/>
                <w:kern w:val="0"/>
                <w:sz w:val="24"/>
                <w:szCs w:val="24"/>
              </w:rPr>
              <w:t xml:space="preserve">≥3.36T </w:t>
            </w:r>
            <w:r>
              <w:rPr>
                <w:rFonts w:hint="eastAsia" w:ascii="宋体" w:hAnsi="宋体" w:eastAsia="宋体" w:cs="宋体"/>
                <w:kern w:val="0"/>
                <w:sz w:val="24"/>
                <w:szCs w:val="24"/>
              </w:rPr>
              <w:t>，转发性能</w:t>
            </w:r>
            <w:r>
              <w:rPr>
                <w:rFonts w:ascii="宋体" w:hAnsi="宋体" w:eastAsia="宋体" w:cs="宋体"/>
                <w:kern w:val="0"/>
                <w:sz w:val="24"/>
                <w:szCs w:val="24"/>
              </w:rPr>
              <w:t xml:space="preserve">≥120Mpps </w:t>
            </w:r>
          </w:p>
        </w:tc>
        <w:tc>
          <w:tcPr>
            <w:tcW w:w="446" w:type="pct"/>
            <w:vMerge w:val="restart"/>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552" w:type="pct"/>
            <w:vMerge w:val="restart"/>
            <w:tcBorders>
              <w:top w:val="nil"/>
              <w:left w:val="single" w:color="000000" w:sz="8" w:space="0"/>
              <w:bottom w:val="single" w:color="000000" w:sz="8" w:space="0"/>
              <w:right w:val="single" w:color="auto" w:sz="8" w:space="0"/>
            </w:tcBorders>
            <w:shd w:val="clear" w:color="000000" w:fill="FFFFFF"/>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91</w:t>
            </w: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rPr>
                <w:rFonts w:ascii="宋体" w:hAnsi="宋体" w:eastAsia="宋体" w:cs="宋体"/>
                <w:kern w:val="0"/>
                <w:sz w:val="24"/>
                <w:szCs w:val="24"/>
              </w:rPr>
            </w:pPr>
            <w:r>
              <w:rPr>
                <w:rFonts w:ascii="宋体" w:hAnsi="宋体" w:eastAsia="宋体" w:cs="宋体"/>
                <w:kern w:val="0"/>
                <w:sz w:val="24"/>
                <w:szCs w:val="24"/>
              </w:rPr>
              <w:t xml:space="preserve">2 </w:t>
            </w:r>
            <w:r>
              <w:rPr>
                <w:rFonts w:hint="eastAsia" w:ascii="宋体" w:hAnsi="宋体" w:eastAsia="宋体" w:cs="宋体"/>
                <w:kern w:val="0"/>
                <w:sz w:val="24"/>
                <w:szCs w:val="24"/>
              </w:rPr>
              <w:t>固化</w:t>
            </w:r>
            <w:r>
              <w:rPr>
                <w:rFonts w:ascii="宋体" w:hAnsi="宋体" w:eastAsia="宋体" w:cs="宋体"/>
                <w:kern w:val="0"/>
                <w:sz w:val="24"/>
                <w:szCs w:val="24"/>
              </w:rPr>
              <w:t>10/100/1000M</w:t>
            </w:r>
            <w:r>
              <w:rPr>
                <w:rFonts w:hint="eastAsia" w:ascii="宋体" w:hAnsi="宋体" w:eastAsia="宋体" w:cs="宋体"/>
                <w:kern w:val="0"/>
                <w:sz w:val="24"/>
                <w:szCs w:val="24"/>
              </w:rPr>
              <w:t>以太网端口</w:t>
            </w:r>
            <w:r>
              <w:rPr>
                <w:rFonts w:ascii="宋体" w:hAnsi="宋体" w:eastAsia="宋体" w:cs="宋体"/>
                <w:kern w:val="0"/>
                <w:sz w:val="24"/>
                <w:szCs w:val="24"/>
              </w:rPr>
              <w:t>≥24</w:t>
            </w:r>
            <w:r>
              <w:rPr>
                <w:rFonts w:hint="eastAsia" w:ascii="宋体" w:hAnsi="宋体" w:eastAsia="宋体" w:cs="宋体"/>
                <w:kern w:val="0"/>
                <w:sz w:val="24"/>
                <w:szCs w:val="24"/>
              </w:rPr>
              <w:t>，固化</w:t>
            </w:r>
            <w:r>
              <w:rPr>
                <w:rFonts w:ascii="宋体" w:hAnsi="宋体" w:eastAsia="宋体" w:cs="宋体"/>
                <w:kern w:val="0"/>
                <w:sz w:val="24"/>
                <w:szCs w:val="24"/>
              </w:rPr>
              <w:t>SFP</w:t>
            </w:r>
            <w:r>
              <w:rPr>
                <w:rFonts w:hint="eastAsia" w:ascii="宋体" w:hAnsi="宋体" w:eastAsia="宋体" w:cs="宋体"/>
                <w:kern w:val="0"/>
                <w:sz w:val="24"/>
                <w:szCs w:val="24"/>
              </w:rPr>
              <w:t>非复用口</w:t>
            </w:r>
            <w:r>
              <w:rPr>
                <w:rFonts w:ascii="宋体" w:hAnsi="宋体" w:eastAsia="宋体" w:cs="宋体"/>
                <w:kern w:val="0"/>
                <w:sz w:val="24"/>
                <w:szCs w:val="24"/>
              </w:rPr>
              <w:t>≥4</w:t>
            </w:r>
            <w:r>
              <w:rPr>
                <w:rFonts w:hint="eastAsia" w:ascii="宋体" w:hAnsi="宋体" w:eastAsia="宋体" w:cs="宋体"/>
                <w:kern w:val="0"/>
                <w:sz w:val="24"/>
                <w:szCs w:val="24"/>
              </w:rPr>
              <w:t>个</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rPr>
                <w:rFonts w:ascii="宋体" w:hAnsi="宋体" w:eastAsia="宋体" w:cs="宋体"/>
                <w:kern w:val="0"/>
                <w:sz w:val="24"/>
                <w:szCs w:val="24"/>
              </w:rPr>
            </w:pPr>
            <w:r>
              <w:rPr>
                <w:rFonts w:ascii="宋体" w:hAnsi="宋体" w:eastAsia="宋体" w:cs="宋体"/>
                <w:kern w:val="0"/>
                <w:sz w:val="24"/>
                <w:szCs w:val="24"/>
              </w:rPr>
              <w:t xml:space="preserve">3 </w:t>
            </w:r>
            <w:r>
              <w:rPr>
                <w:rFonts w:hint="eastAsia" w:ascii="宋体" w:hAnsi="宋体" w:eastAsia="宋体" w:cs="宋体"/>
                <w:kern w:val="0"/>
                <w:sz w:val="24"/>
                <w:szCs w:val="24"/>
              </w:rPr>
              <w:t>要求所投设备</w:t>
            </w:r>
            <w:r>
              <w:rPr>
                <w:rFonts w:ascii="宋体" w:hAnsi="宋体" w:eastAsia="宋体" w:cs="宋体"/>
                <w:kern w:val="0"/>
                <w:sz w:val="24"/>
                <w:szCs w:val="24"/>
              </w:rPr>
              <w:t>MAC</w:t>
            </w:r>
            <w:r>
              <w:rPr>
                <w:rFonts w:hint="eastAsia" w:ascii="宋体" w:hAnsi="宋体" w:eastAsia="宋体" w:cs="宋体"/>
                <w:kern w:val="0"/>
                <w:sz w:val="24"/>
                <w:szCs w:val="24"/>
              </w:rPr>
              <w:t>地址</w:t>
            </w:r>
            <w:r>
              <w:rPr>
                <w:rFonts w:ascii="宋体" w:hAnsi="宋体" w:eastAsia="宋体" w:cs="宋体"/>
                <w:kern w:val="0"/>
                <w:sz w:val="24"/>
                <w:szCs w:val="24"/>
              </w:rPr>
              <w:t>≥16K</w:t>
            </w:r>
            <w:r>
              <w:rPr>
                <w:rFonts w:hint="eastAsia" w:ascii="宋体" w:hAnsi="宋体" w:eastAsia="宋体" w:cs="宋体"/>
                <w:kern w:val="0"/>
                <w:sz w:val="24"/>
                <w:szCs w:val="24"/>
              </w:rPr>
              <w:t>，</w:t>
            </w:r>
            <w:r>
              <w:rPr>
                <w:rFonts w:ascii="宋体" w:hAnsi="宋体" w:eastAsia="宋体" w:cs="宋体"/>
                <w:kern w:val="0"/>
                <w:sz w:val="24"/>
                <w:szCs w:val="24"/>
              </w:rPr>
              <w:t>ARP</w:t>
            </w:r>
            <w:r>
              <w:rPr>
                <w:rFonts w:hint="eastAsia" w:ascii="宋体" w:hAnsi="宋体" w:eastAsia="宋体" w:cs="宋体"/>
                <w:kern w:val="0"/>
                <w:sz w:val="24"/>
                <w:szCs w:val="24"/>
              </w:rPr>
              <w:t>表项</w:t>
            </w:r>
            <w:r>
              <w:rPr>
                <w:rFonts w:ascii="宋体" w:hAnsi="宋体" w:eastAsia="宋体" w:cs="宋体"/>
                <w:kern w:val="0"/>
                <w:sz w:val="24"/>
                <w:szCs w:val="24"/>
              </w:rPr>
              <w:t>≥1000</w:t>
            </w:r>
            <w:r>
              <w:rPr>
                <w:rFonts w:hint="eastAsia" w:ascii="宋体" w:hAnsi="宋体" w:eastAsia="宋体" w:cs="宋体"/>
                <w:kern w:val="0"/>
                <w:sz w:val="24"/>
                <w:szCs w:val="24"/>
              </w:rPr>
              <w:t>条</w:t>
            </w:r>
            <w:r>
              <w:rPr>
                <w:rFonts w:ascii="宋体" w:hAnsi="宋体" w:eastAsia="宋体" w:cs="宋体"/>
                <w:kern w:val="0"/>
                <w:sz w:val="24"/>
                <w:szCs w:val="24"/>
              </w:rPr>
              <w:t>,FIB</w:t>
            </w:r>
            <w:r>
              <w:rPr>
                <w:rFonts w:hint="eastAsia" w:ascii="宋体" w:hAnsi="宋体" w:eastAsia="宋体" w:cs="宋体"/>
                <w:kern w:val="0"/>
                <w:sz w:val="24"/>
                <w:szCs w:val="24"/>
              </w:rPr>
              <w:t>表项</w:t>
            </w:r>
            <w:r>
              <w:rPr>
                <w:rFonts w:ascii="宋体" w:hAnsi="宋体" w:eastAsia="宋体" w:cs="宋体"/>
                <w:kern w:val="0"/>
                <w:sz w:val="24"/>
                <w:szCs w:val="24"/>
              </w:rPr>
              <w:t>≥500</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rPr>
                <w:rFonts w:ascii="宋体" w:hAnsi="宋体" w:eastAsia="宋体" w:cs="宋体"/>
                <w:kern w:val="0"/>
                <w:sz w:val="24"/>
                <w:szCs w:val="24"/>
              </w:rPr>
            </w:pPr>
            <w:r>
              <w:rPr>
                <w:rFonts w:ascii="宋体" w:hAnsi="宋体" w:eastAsia="宋体" w:cs="宋体"/>
                <w:kern w:val="0"/>
                <w:sz w:val="24"/>
                <w:szCs w:val="24"/>
              </w:rPr>
              <w:t xml:space="preserve">4 </w:t>
            </w:r>
            <w:r>
              <w:rPr>
                <w:rFonts w:hint="eastAsia" w:ascii="宋体" w:hAnsi="宋体" w:eastAsia="宋体" w:cs="宋体"/>
                <w:kern w:val="0"/>
                <w:sz w:val="24"/>
                <w:szCs w:val="24"/>
              </w:rPr>
              <w:t>支持</w:t>
            </w:r>
            <w:r>
              <w:rPr>
                <w:rFonts w:ascii="宋体" w:hAnsi="宋体" w:eastAsia="宋体" w:cs="宋体"/>
                <w:kern w:val="0"/>
                <w:sz w:val="24"/>
                <w:szCs w:val="24"/>
              </w:rPr>
              <w:t>IPv4</w:t>
            </w:r>
            <w:r>
              <w:rPr>
                <w:rFonts w:hint="eastAsia" w:ascii="宋体" w:hAnsi="宋体" w:eastAsia="宋体" w:cs="宋体"/>
                <w:kern w:val="0"/>
                <w:sz w:val="24"/>
                <w:szCs w:val="24"/>
              </w:rPr>
              <w:t>和</w:t>
            </w:r>
            <w:r>
              <w:rPr>
                <w:rFonts w:ascii="宋体" w:hAnsi="宋体" w:eastAsia="宋体" w:cs="宋体"/>
                <w:kern w:val="0"/>
                <w:sz w:val="24"/>
                <w:szCs w:val="24"/>
              </w:rPr>
              <w:t>IPv6</w:t>
            </w:r>
            <w:r>
              <w:rPr>
                <w:rFonts w:hint="eastAsia" w:ascii="宋体" w:hAnsi="宋体" w:eastAsia="宋体" w:cs="宋体"/>
                <w:kern w:val="0"/>
                <w:sz w:val="24"/>
                <w:szCs w:val="24"/>
              </w:rPr>
              <w:t>的静态路由、</w:t>
            </w:r>
            <w:r>
              <w:rPr>
                <w:rFonts w:ascii="宋体" w:hAnsi="宋体" w:eastAsia="宋体" w:cs="宋体"/>
                <w:kern w:val="0"/>
                <w:sz w:val="24"/>
                <w:szCs w:val="24"/>
              </w:rPr>
              <w:t>RIP/RIPng</w:t>
            </w:r>
            <w:r>
              <w:rPr>
                <w:rFonts w:hint="eastAsia" w:ascii="宋体" w:hAnsi="宋体" w:eastAsia="宋体" w:cs="宋体"/>
                <w:kern w:val="0"/>
                <w:sz w:val="24"/>
                <w:szCs w:val="24"/>
              </w:rPr>
              <w:t>、</w:t>
            </w:r>
            <w:r>
              <w:rPr>
                <w:rFonts w:ascii="宋体" w:hAnsi="宋体" w:eastAsia="宋体" w:cs="宋体"/>
                <w:kern w:val="0"/>
                <w:sz w:val="24"/>
                <w:szCs w:val="24"/>
              </w:rPr>
              <w:t>OSPFv2/OSPFv3</w:t>
            </w:r>
            <w:r>
              <w:rPr>
                <w:rFonts w:hint="eastAsia" w:ascii="宋体" w:hAnsi="宋体" w:eastAsia="宋体" w:cs="宋体"/>
                <w:kern w:val="0"/>
                <w:sz w:val="24"/>
                <w:szCs w:val="24"/>
              </w:rPr>
              <w:t>等三层路由协议</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rPr>
                <w:rFonts w:ascii="宋体" w:hAnsi="宋体" w:eastAsia="宋体" w:cs="宋体"/>
                <w:kern w:val="0"/>
                <w:sz w:val="24"/>
                <w:szCs w:val="24"/>
              </w:rPr>
            </w:pPr>
            <w:r>
              <w:rPr>
                <w:rFonts w:ascii="宋体" w:hAnsi="宋体" w:eastAsia="宋体" w:cs="宋体"/>
                <w:kern w:val="0"/>
                <w:sz w:val="24"/>
                <w:szCs w:val="24"/>
              </w:rPr>
              <w:t xml:space="preserve">5 </w:t>
            </w:r>
            <w:r>
              <w:rPr>
                <w:rFonts w:hint="eastAsia" w:ascii="宋体" w:hAnsi="宋体" w:eastAsia="宋体" w:cs="宋体"/>
                <w:kern w:val="0"/>
                <w:sz w:val="24"/>
                <w:szCs w:val="24"/>
              </w:rPr>
              <w:t>为保证设备在受到外界机械碰撞时能够正常运行，要求所投交换机</w:t>
            </w:r>
            <w:r>
              <w:rPr>
                <w:rFonts w:ascii="宋体" w:hAnsi="宋体" w:eastAsia="宋体" w:cs="宋体"/>
                <w:kern w:val="0"/>
                <w:sz w:val="24"/>
                <w:szCs w:val="24"/>
              </w:rPr>
              <w:t>IK</w:t>
            </w:r>
            <w:r>
              <w:rPr>
                <w:rFonts w:hint="eastAsia" w:ascii="宋体" w:hAnsi="宋体" w:eastAsia="宋体" w:cs="宋体"/>
                <w:kern w:val="0"/>
                <w:sz w:val="24"/>
                <w:szCs w:val="24"/>
              </w:rPr>
              <w:t>防护测试级别至少达到</w:t>
            </w:r>
            <w:r>
              <w:rPr>
                <w:rFonts w:ascii="宋体" w:hAnsi="宋体" w:eastAsia="宋体" w:cs="宋体"/>
                <w:kern w:val="0"/>
                <w:sz w:val="24"/>
                <w:szCs w:val="24"/>
              </w:rPr>
              <w:t xml:space="preserve">IK05 </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rPr>
                <w:rFonts w:ascii="宋体" w:hAnsi="宋体" w:eastAsia="宋体" w:cs="宋体"/>
                <w:kern w:val="0"/>
                <w:sz w:val="24"/>
                <w:szCs w:val="24"/>
              </w:rPr>
            </w:pPr>
            <w:r>
              <w:rPr>
                <w:rFonts w:ascii="宋体" w:hAnsi="宋体" w:eastAsia="宋体" w:cs="宋体"/>
                <w:kern w:val="0"/>
                <w:sz w:val="24"/>
                <w:szCs w:val="24"/>
              </w:rPr>
              <w:t xml:space="preserve">6 </w:t>
            </w:r>
            <w:r>
              <w:rPr>
                <w:rFonts w:hint="eastAsia" w:ascii="宋体" w:hAnsi="宋体" w:eastAsia="宋体" w:cs="宋体"/>
                <w:kern w:val="0"/>
                <w:sz w:val="24"/>
                <w:szCs w:val="24"/>
              </w:rPr>
              <w:t>投标产品支持单端口</w:t>
            </w:r>
            <w:r>
              <w:rPr>
                <w:rFonts w:ascii="宋体" w:hAnsi="宋体" w:eastAsia="宋体" w:cs="宋体"/>
                <w:kern w:val="0"/>
                <w:sz w:val="24"/>
                <w:szCs w:val="24"/>
              </w:rPr>
              <w:t>POE</w:t>
            </w:r>
            <w:r>
              <w:rPr>
                <w:rFonts w:hint="eastAsia" w:ascii="宋体" w:hAnsi="宋体" w:eastAsia="宋体" w:cs="宋体"/>
                <w:kern w:val="0"/>
                <w:sz w:val="24"/>
                <w:szCs w:val="24"/>
              </w:rPr>
              <w:t>输出功率</w:t>
            </w:r>
            <w:r>
              <w:rPr>
                <w:rFonts w:ascii="宋体" w:hAnsi="宋体" w:eastAsia="宋体" w:cs="宋体"/>
                <w:kern w:val="0"/>
                <w:sz w:val="24"/>
                <w:szCs w:val="24"/>
              </w:rPr>
              <w:t>≥60W</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000000" w:fill="FFFFFF"/>
            <w:vAlign w:val="center"/>
          </w:tcPr>
          <w:p>
            <w:pPr>
              <w:widowControl/>
              <w:rPr>
                <w:rFonts w:ascii="宋体" w:hAnsi="宋体" w:eastAsia="宋体" w:cs="宋体"/>
                <w:kern w:val="0"/>
                <w:sz w:val="24"/>
                <w:szCs w:val="24"/>
              </w:rPr>
            </w:pPr>
            <w:r>
              <w:rPr>
                <w:rFonts w:ascii="宋体" w:hAnsi="宋体" w:eastAsia="宋体" w:cs="宋体"/>
                <w:kern w:val="0"/>
                <w:sz w:val="24"/>
                <w:szCs w:val="24"/>
              </w:rPr>
              <w:t xml:space="preserve">7 </w:t>
            </w:r>
            <w:r>
              <w:rPr>
                <w:rFonts w:hint="eastAsia" w:ascii="宋体" w:hAnsi="宋体" w:eastAsia="宋体" w:cs="宋体"/>
                <w:kern w:val="0"/>
                <w:sz w:val="24"/>
                <w:szCs w:val="24"/>
              </w:rPr>
              <w:t>投标产品所有电口支持</w:t>
            </w:r>
            <w:r>
              <w:rPr>
                <w:rFonts w:ascii="宋体" w:hAnsi="宋体" w:eastAsia="宋体" w:cs="宋体"/>
                <w:kern w:val="0"/>
                <w:sz w:val="24"/>
                <w:szCs w:val="24"/>
              </w:rPr>
              <w:t>POE</w:t>
            </w:r>
            <w:r>
              <w:rPr>
                <w:rFonts w:hint="eastAsia" w:ascii="宋体" w:hAnsi="宋体" w:eastAsia="宋体" w:cs="宋体"/>
                <w:kern w:val="0"/>
                <w:sz w:val="24"/>
                <w:szCs w:val="24"/>
              </w:rPr>
              <w:t>和</w:t>
            </w:r>
            <w:r>
              <w:rPr>
                <w:rFonts w:ascii="宋体" w:hAnsi="宋体" w:eastAsia="宋体" w:cs="宋体"/>
                <w:kern w:val="0"/>
                <w:sz w:val="24"/>
                <w:szCs w:val="24"/>
              </w:rPr>
              <w:t>POE+</w:t>
            </w:r>
            <w:r>
              <w:rPr>
                <w:rFonts w:hint="eastAsia" w:ascii="宋体" w:hAnsi="宋体" w:eastAsia="宋体" w:cs="宋体"/>
                <w:kern w:val="0"/>
                <w:sz w:val="24"/>
                <w:szCs w:val="24"/>
              </w:rPr>
              <w:t>远程供电，</w:t>
            </w:r>
            <w:r>
              <w:rPr>
                <w:rFonts w:ascii="宋体" w:hAnsi="宋体" w:eastAsia="宋体" w:cs="宋体"/>
                <w:kern w:val="0"/>
                <w:sz w:val="24"/>
                <w:szCs w:val="24"/>
              </w:rPr>
              <w:t>POE+</w:t>
            </w:r>
            <w:r>
              <w:rPr>
                <w:rFonts w:hint="eastAsia" w:ascii="宋体" w:hAnsi="宋体" w:eastAsia="宋体" w:cs="宋体"/>
                <w:kern w:val="0"/>
                <w:sz w:val="24"/>
                <w:szCs w:val="24"/>
              </w:rPr>
              <w:t>同时可供电端口数</w:t>
            </w:r>
            <w:r>
              <w:rPr>
                <w:rFonts w:ascii="宋体" w:hAnsi="宋体" w:eastAsia="宋体" w:cs="宋体"/>
                <w:kern w:val="0"/>
                <w:sz w:val="24"/>
                <w:szCs w:val="24"/>
              </w:rPr>
              <w:t>≥12</w:t>
            </w:r>
            <w:r>
              <w:rPr>
                <w:rFonts w:hint="eastAsia" w:ascii="宋体" w:hAnsi="宋体" w:eastAsia="宋体" w:cs="宋体"/>
                <w:kern w:val="0"/>
                <w:sz w:val="24"/>
                <w:szCs w:val="24"/>
              </w:rPr>
              <w:t>个，整机</w:t>
            </w:r>
            <w:r>
              <w:rPr>
                <w:rFonts w:ascii="宋体" w:hAnsi="宋体" w:eastAsia="宋体" w:cs="宋体"/>
                <w:kern w:val="0"/>
                <w:sz w:val="24"/>
                <w:szCs w:val="24"/>
              </w:rPr>
              <w:t>POE</w:t>
            </w:r>
            <w:r>
              <w:rPr>
                <w:rFonts w:hint="eastAsia" w:ascii="宋体" w:hAnsi="宋体" w:eastAsia="宋体" w:cs="宋体"/>
                <w:kern w:val="0"/>
                <w:sz w:val="24"/>
                <w:szCs w:val="24"/>
              </w:rPr>
              <w:t>功率输出</w:t>
            </w:r>
            <w:r>
              <w:rPr>
                <w:rFonts w:ascii="宋体" w:hAnsi="宋体" w:eastAsia="宋体" w:cs="宋体"/>
                <w:kern w:val="0"/>
                <w:sz w:val="24"/>
                <w:szCs w:val="24"/>
              </w:rPr>
              <w:t>≥370W</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000000" w:fill="FFFFFF"/>
            <w:vAlign w:val="center"/>
          </w:tcPr>
          <w:p>
            <w:pPr>
              <w:widowControl/>
              <w:rPr>
                <w:rFonts w:ascii="宋体" w:hAnsi="宋体" w:eastAsia="宋体" w:cs="宋体"/>
                <w:kern w:val="0"/>
                <w:sz w:val="24"/>
                <w:szCs w:val="24"/>
              </w:rPr>
            </w:pPr>
            <w:r>
              <w:rPr>
                <w:rFonts w:ascii="宋体" w:hAnsi="宋体" w:eastAsia="宋体" w:cs="宋体"/>
                <w:kern w:val="0"/>
                <w:sz w:val="24"/>
                <w:szCs w:val="24"/>
              </w:rPr>
              <w:t xml:space="preserve">8 </w:t>
            </w:r>
            <w:r>
              <w:rPr>
                <w:rFonts w:hint="eastAsia" w:ascii="宋体" w:hAnsi="宋体" w:eastAsia="宋体" w:cs="宋体"/>
                <w:kern w:val="0"/>
                <w:sz w:val="24"/>
                <w:szCs w:val="24"/>
              </w:rPr>
              <w:t>支持链路聚合负载分担和冗余功能。</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339" w:type="pct"/>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19</w:t>
            </w:r>
          </w:p>
        </w:tc>
        <w:tc>
          <w:tcPr>
            <w:tcW w:w="722" w:type="pct"/>
            <w:vMerge w:val="restart"/>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8口POE交换机</w:t>
            </w:r>
          </w:p>
        </w:tc>
        <w:tc>
          <w:tcPr>
            <w:tcW w:w="2941" w:type="pct"/>
            <w:tcBorders>
              <w:top w:val="nil"/>
              <w:left w:val="nil"/>
              <w:bottom w:val="nil"/>
              <w:right w:val="single" w:color="000000" w:sz="8" w:space="0"/>
            </w:tcBorders>
            <w:shd w:val="clear" w:color="000000" w:fill="FFFFFF"/>
            <w:vAlign w:val="center"/>
          </w:tcPr>
          <w:p>
            <w:pPr>
              <w:widowControl/>
              <w:rPr>
                <w:rFonts w:ascii="宋体" w:hAnsi="宋体" w:eastAsia="宋体" w:cs="宋体"/>
                <w:kern w:val="0"/>
                <w:sz w:val="24"/>
                <w:szCs w:val="24"/>
              </w:rPr>
            </w:pPr>
            <w:r>
              <w:rPr>
                <w:rFonts w:ascii="宋体" w:hAnsi="宋体" w:eastAsia="宋体" w:cs="宋体"/>
                <w:kern w:val="0"/>
                <w:sz w:val="24"/>
                <w:szCs w:val="24"/>
              </w:rPr>
              <w:t xml:space="preserve">1 </w:t>
            </w:r>
            <w:r>
              <w:rPr>
                <w:rFonts w:hint="eastAsia" w:ascii="宋体" w:hAnsi="宋体" w:eastAsia="宋体" w:cs="宋体"/>
                <w:kern w:val="0"/>
                <w:sz w:val="24"/>
                <w:szCs w:val="24"/>
              </w:rPr>
              <w:t>支持固化千兆电口</w:t>
            </w:r>
            <w:r>
              <w:rPr>
                <w:rFonts w:ascii="宋体" w:hAnsi="宋体" w:eastAsia="宋体" w:cs="宋体"/>
                <w:kern w:val="0"/>
                <w:sz w:val="24"/>
                <w:szCs w:val="24"/>
              </w:rPr>
              <w:t>≥8</w:t>
            </w:r>
            <w:r>
              <w:rPr>
                <w:rFonts w:hint="eastAsia" w:ascii="宋体" w:hAnsi="宋体" w:eastAsia="宋体" w:cs="宋体"/>
                <w:kern w:val="0"/>
                <w:sz w:val="24"/>
                <w:szCs w:val="24"/>
              </w:rPr>
              <w:t>个，固化千兆光口</w:t>
            </w:r>
            <w:r>
              <w:rPr>
                <w:rFonts w:ascii="宋体" w:hAnsi="宋体" w:eastAsia="宋体" w:cs="宋体"/>
                <w:kern w:val="0"/>
                <w:sz w:val="24"/>
                <w:szCs w:val="24"/>
              </w:rPr>
              <w:t>≥2</w:t>
            </w:r>
            <w:r>
              <w:rPr>
                <w:rFonts w:hint="eastAsia" w:ascii="宋体" w:hAnsi="宋体" w:eastAsia="宋体" w:cs="宋体"/>
                <w:kern w:val="0"/>
                <w:sz w:val="24"/>
                <w:szCs w:val="24"/>
              </w:rPr>
              <w:t>个，桌面型设备</w:t>
            </w:r>
            <w:r>
              <w:rPr>
                <w:rFonts w:ascii="宋体" w:hAnsi="宋体" w:eastAsia="宋体" w:cs="宋体"/>
                <w:kern w:val="0"/>
                <w:sz w:val="24"/>
                <w:szCs w:val="24"/>
              </w:rPr>
              <w:t>;</w:t>
            </w:r>
          </w:p>
        </w:tc>
        <w:tc>
          <w:tcPr>
            <w:tcW w:w="446" w:type="pct"/>
            <w:vMerge w:val="restart"/>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552" w:type="pct"/>
            <w:vMerge w:val="restart"/>
            <w:tcBorders>
              <w:top w:val="nil"/>
              <w:left w:val="single" w:color="000000" w:sz="8" w:space="0"/>
              <w:bottom w:val="single" w:color="000000" w:sz="8" w:space="0"/>
              <w:right w:val="single" w:color="auto" w:sz="8"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w:t>
            </w: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rPr>
                <w:rFonts w:ascii="宋体" w:hAnsi="宋体" w:eastAsia="宋体" w:cs="宋体"/>
                <w:kern w:val="0"/>
                <w:sz w:val="24"/>
                <w:szCs w:val="24"/>
              </w:rPr>
            </w:pPr>
            <w:r>
              <w:rPr>
                <w:rFonts w:ascii="宋体" w:hAnsi="宋体" w:eastAsia="宋体" w:cs="宋体"/>
                <w:kern w:val="0"/>
                <w:sz w:val="24"/>
                <w:szCs w:val="24"/>
              </w:rPr>
              <w:t xml:space="preserve">2 </w:t>
            </w:r>
            <w:r>
              <w:rPr>
                <w:rFonts w:hint="eastAsia" w:ascii="宋体" w:hAnsi="宋体" w:eastAsia="宋体" w:cs="宋体"/>
                <w:kern w:val="0"/>
                <w:sz w:val="24"/>
                <w:szCs w:val="24"/>
              </w:rPr>
              <w:t>支持</w:t>
            </w:r>
            <w:r>
              <w:rPr>
                <w:rFonts w:ascii="宋体" w:hAnsi="宋体" w:eastAsia="宋体" w:cs="宋体"/>
                <w:kern w:val="0"/>
                <w:sz w:val="24"/>
                <w:szCs w:val="24"/>
              </w:rPr>
              <w:t>PoE</w:t>
            </w:r>
            <w:r>
              <w:rPr>
                <w:rFonts w:hint="eastAsia" w:ascii="宋体" w:hAnsi="宋体" w:eastAsia="宋体" w:cs="宋体"/>
                <w:kern w:val="0"/>
                <w:sz w:val="24"/>
                <w:szCs w:val="24"/>
              </w:rPr>
              <w:t>供电口≥</w:t>
            </w:r>
            <w:r>
              <w:rPr>
                <w:rFonts w:ascii="宋体" w:hAnsi="宋体" w:eastAsia="宋体" w:cs="宋体"/>
                <w:kern w:val="0"/>
                <w:sz w:val="24"/>
                <w:szCs w:val="24"/>
              </w:rPr>
              <w:t>8</w:t>
            </w:r>
            <w:r>
              <w:rPr>
                <w:rFonts w:hint="eastAsia" w:ascii="宋体" w:hAnsi="宋体" w:eastAsia="宋体" w:cs="宋体"/>
                <w:kern w:val="0"/>
                <w:sz w:val="24"/>
                <w:szCs w:val="24"/>
              </w:rPr>
              <w:t>个，整机输出功率≥</w:t>
            </w:r>
            <w:r>
              <w:rPr>
                <w:rFonts w:ascii="宋体" w:hAnsi="宋体" w:eastAsia="宋体" w:cs="宋体"/>
                <w:kern w:val="0"/>
                <w:sz w:val="24"/>
                <w:szCs w:val="24"/>
              </w:rPr>
              <w:t xml:space="preserve">125W, </w:t>
            </w:r>
            <w:r>
              <w:rPr>
                <w:rFonts w:hint="eastAsia" w:ascii="宋体" w:hAnsi="宋体" w:eastAsia="宋体" w:cs="宋体"/>
                <w:kern w:val="0"/>
                <w:sz w:val="24"/>
                <w:szCs w:val="24"/>
              </w:rPr>
              <w:t>单口最大输出功率≥</w:t>
            </w:r>
            <w:r>
              <w:rPr>
                <w:rFonts w:ascii="宋体" w:hAnsi="宋体" w:eastAsia="宋体" w:cs="宋体"/>
                <w:kern w:val="0"/>
                <w:sz w:val="24"/>
                <w:szCs w:val="24"/>
              </w:rPr>
              <w:t>30W</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rPr>
                <w:rFonts w:ascii="宋体" w:hAnsi="宋体" w:eastAsia="宋体" w:cs="宋体"/>
                <w:kern w:val="0"/>
                <w:sz w:val="24"/>
                <w:szCs w:val="24"/>
              </w:rPr>
            </w:pPr>
            <w:r>
              <w:rPr>
                <w:rFonts w:ascii="宋体" w:hAnsi="宋体" w:eastAsia="宋体" w:cs="宋体"/>
                <w:kern w:val="0"/>
                <w:sz w:val="24"/>
                <w:szCs w:val="24"/>
              </w:rPr>
              <w:t xml:space="preserve">3 </w:t>
            </w:r>
            <w:r>
              <w:rPr>
                <w:rFonts w:hint="eastAsia" w:ascii="宋体" w:hAnsi="宋体" w:eastAsia="宋体" w:cs="宋体"/>
                <w:kern w:val="0"/>
                <w:sz w:val="24"/>
                <w:szCs w:val="24"/>
              </w:rPr>
              <w:t>交换缓存</w:t>
            </w:r>
            <w:r>
              <w:rPr>
                <w:rFonts w:ascii="宋体" w:hAnsi="宋体" w:eastAsia="宋体" w:cs="宋体"/>
                <w:kern w:val="0"/>
                <w:sz w:val="24"/>
                <w:szCs w:val="24"/>
              </w:rPr>
              <w:t>≥4.1Mbit</w:t>
            </w:r>
            <w:r>
              <w:rPr>
                <w:rFonts w:hint="eastAsia" w:ascii="宋体" w:hAnsi="宋体" w:eastAsia="宋体" w:cs="宋体"/>
                <w:kern w:val="0"/>
                <w:sz w:val="24"/>
                <w:szCs w:val="24"/>
              </w:rPr>
              <w:t>，内存</w:t>
            </w:r>
            <w:r>
              <w:rPr>
                <w:rFonts w:ascii="宋体" w:hAnsi="宋体" w:eastAsia="宋体" w:cs="宋体"/>
                <w:kern w:val="0"/>
                <w:sz w:val="24"/>
                <w:szCs w:val="24"/>
              </w:rPr>
              <w:t>≥256MB</w:t>
            </w:r>
            <w:r>
              <w:rPr>
                <w:rFonts w:hint="eastAsia" w:ascii="宋体" w:hAnsi="宋体" w:eastAsia="宋体" w:cs="宋体"/>
                <w:kern w:val="0"/>
                <w:sz w:val="24"/>
                <w:szCs w:val="24"/>
              </w:rPr>
              <w:t>，交换容量</w:t>
            </w:r>
            <w:r>
              <w:rPr>
                <w:rFonts w:ascii="宋体" w:hAnsi="宋体" w:eastAsia="宋体" w:cs="宋体"/>
                <w:kern w:val="0"/>
                <w:sz w:val="24"/>
                <w:szCs w:val="24"/>
              </w:rPr>
              <w:t>≥192Gbps</w:t>
            </w:r>
            <w:r>
              <w:rPr>
                <w:rFonts w:hint="eastAsia" w:ascii="宋体" w:hAnsi="宋体" w:eastAsia="宋体" w:cs="宋体"/>
                <w:kern w:val="0"/>
                <w:sz w:val="24"/>
                <w:szCs w:val="24"/>
              </w:rPr>
              <w:t>，包转发率</w:t>
            </w:r>
            <w:r>
              <w:rPr>
                <w:rFonts w:ascii="宋体" w:hAnsi="宋体" w:eastAsia="宋体" w:cs="宋体"/>
                <w:kern w:val="0"/>
                <w:sz w:val="24"/>
                <w:szCs w:val="24"/>
              </w:rPr>
              <w:t>≥15Mpps</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rPr>
                <w:rFonts w:ascii="宋体" w:hAnsi="宋体" w:eastAsia="宋体" w:cs="宋体"/>
                <w:kern w:val="0"/>
                <w:sz w:val="24"/>
                <w:szCs w:val="24"/>
              </w:rPr>
            </w:pPr>
            <w:r>
              <w:rPr>
                <w:rFonts w:ascii="宋体" w:hAnsi="宋体" w:eastAsia="宋体" w:cs="宋体"/>
                <w:kern w:val="0"/>
                <w:sz w:val="24"/>
                <w:szCs w:val="24"/>
              </w:rPr>
              <w:t>4</w:t>
            </w:r>
            <w:r>
              <w:rPr>
                <w:rFonts w:hint="eastAsia" w:ascii="宋体" w:hAnsi="宋体" w:eastAsia="宋体" w:cs="宋体"/>
                <w:kern w:val="0"/>
                <w:sz w:val="24"/>
                <w:szCs w:val="24"/>
              </w:rPr>
              <w:t>支持</w:t>
            </w:r>
            <w:r>
              <w:rPr>
                <w:rFonts w:ascii="宋体" w:hAnsi="宋体" w:eastAsia="宋体" w:cs="宋体"/>
                <w:kern w:val="0"/>
                <w:sz w:val="24"/>
                <w:szCs w:val="24"/>
              </w:rPr>
              <w:t>PoE</w:t>
            </w:r>
            <w:r>
              <w:rPr>
                <w:rFonts w:hint="eastAsia" w:ascii="宋体" w:hAnsi="宋体" w:eastAsia="宋体" w:cs="宋体"/>
                <w:kern w:val="0"/>
                <w:sz w:val="24"/>
                <w:szCs w:val="24"/>
              </w:rPr>
              <w:t>保障口，满足重要设备的供电需求和稳定性；</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rPr>
                <w:rFonts w:ascii="宋体" w:hAnsi="宋体" w:eastAsia="宋体" w:cs="宋体"/>
                <w:kern w:val="0"/>
                <w:sz w:val="24"/>
                <w:szCs w:val="24"/>
              </w:rPr>
            </w:pPr>
            <w:r>
              <w:rPr>
                <w:rFonts w:ascii="宋体" w:hAnsi="宋体" w:eastAsia="宋体" w:cs="宋体"/>
                <w:kern w:val="0"/>
                <w:sz w:val="24"/>
                <w:szCs w:val="24"/>
              </w:rPr>
              <w:t xml:space="preserve">5 </w:t>
            </w:r>
            <w:r>
              <w:rPr>
                <w:rFonts w:hint="eastAsia" w:ascii="宋体" w:hAnsi="宋体" w:eastAsia="宋体" w:cs="宋体"/>
                <w:kern w:val="0"/>
                <w:sz w:val="24"/>
                <w:szCs w:val="24"/>
              </w:rPr>
              <w:t>支持</w:t>
            </w:r>
            <w:r>
              <w:rPr>
                <w:rFonts w:ascii="宋体" w:hAnsi="宋体" w:eastAsia="宋体" w:cs="宋体"/>
                <w:kern w:val="0"/>
                <w:sz w:val="24"/>
                <w:szCs w:val="24"/>
              </w:rPr>
              <w:t xml:space="preserve"> MAC</w:t>
            </w:r>
            <w:r>
              <w:rPr>
                <w:rFonts w:hint="eastAsia" w:ascii="宋体" w:hAnsi="宋体" w:eastAsia="宋体" w:cs="宋体"/>
                <w:kern w:val="0"/>
                <w:sz w:val="24"/>
                <w:szCs w:val="24"/>
              </w:rPr>
              <w:t>地址容量</w:t>
            </w:r>
            <w:r>
              <w:rPr>
                <w:rFonts w:ascii="宋体" w:hAnsi="宋体" w:eastAsia="宋体" w:cs="宋体"/>
                <w:kern w:val="0"/>
                <w:sz w:val="24"/>
                <w:szCs w:val="24"/>
              </w:rPr>
              <w:t>≥8K</w:t>
            </w:r>
            <w:r>
              <w:rPr>
                <w:rFonts w:hint="eastAsia" w:ascii="宋体" w:hAnsi="宋体" w:eastAsia="宋体" w:cs="宋体"/>
                <w:kern w:val="0"/>
                <w:sz w:val="24"/>
                <w:szCs w:val="24"/>
              </w:rPr>
              <w:t>；支持</w:t>
            </w:r>
            <w:r>
              <w:rPr>
                <w:rFonts w:ascii="宋体" w:hAnsi="宋体" w:eastAsia="宋体" w:cs="宋体"/>
                <w:kern w:val="0"/>
                <w:sz w:val="24"/>
                <w:szCs w:val="24"/>
              </w:rPr>
              <w:t>ACL</w:t>
            </w:r>
            <w:r>
              <w:rPr>
                <w:rFonts w:hint="eastAsia" w:ascii="宋体" w:hAnsi="宋体" w:eastAsia="宋体" w:cs="宋体"/>
                <w:kern w:val="0"/>
                <w:sz w:val="24"/>
                <w:szCs w:val="24"/>
              </w:rPr>
              <w:t>条目</w:t>
            </w:r>
            <w:r>
              <w:rPr>
                <w:rFonts w:ascii="宋体" w:hAnsi="宋体" w:eastAsia="宋体" w:cs="宋体"/>
                <w:kern w:val="0"/>
                <w:sz w:val="24"/>
                <w:szCs w:val="24"/>
              </w:rPr>
              <w:t>≥1200</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rPr>
                <w:rFonts w:ascii="宋体" w:hAnsi="宋体" w:eastAsia="宋体" w:cs="宋体"/>
                <w:kern w:val="0"/>
                <w:sz w:val="24"/>
                <w:szCs w:val="24"/>
              </w:rPr>
            </w:pPr>
            <w:r>
              <w:rPr>
                <w:rFonts w:ascii="宋体" w:hAnsi="宋体" w:eastAsia="宋体" w:cs="宋体"/>
                <w:kern w:val="0"/>
                <w:sz w:val="24"/>
                <w:szCs w:val="24"/>
              </w:rPr>
              <w:t xml:space="preserve">6 </w:t>
            </w:r>
            <w:r>
              <w:rPr>
                <w:rFonts w:hint="eastAsia" w:ascii="宋体" w:hAnsi="宋体" w:eastAsia="宋体" w:cs="宋体"/>
                <w:kern w:val="0"/>
                <w:sz w:val="24"/>
                <w:szCs w:val="24"/>
              </w:rPr>
              <w:t>带</w:t>
            </w:r>
            <w:r>
              <w:rPr>
                <w:rFonts w:ascii="宋体" w:hAnsi="宋体" w:eastAsia="宋体" w:cs="宋体"/>
                <w:kern w:val="0"/>
                <w:sz w:val="24"/>
                <w:szCs w:val="24"/>
              </w:rPr>
              <w:t>200W</w:t>
            </w:r>
            <w:r>
              <w:rPr>
                <w:rFonts w:hint="eastAsia" w:ascii="宋体" w:hAnsi="宋体" w:eastAsia="宋体" w:cs="宋体"/>
                <w:kern w:val="0"/>
                <w:sz w:val="24"/>
                <w:szCs w:val="24"/>
              </w:rPr>
              <w:t>像素的</w:t>
            </w:r>
            <w:r>
              <w:rPr>
                <w:rFonts w:ascii="宋体" w:hAnsi="宋体" w:eastAsia="宋体" w:cs="宋体"/>
                <w:kern w:val="0"/>
                <w:sz w:val="24"/>
                <w:szCs w:val="24"/>
              </w:rPr>
              <w:t>IPC</w:t>
            </w:r>
            <w:r>
              <w:rPr>
                <w:rFonts w:hint="eastAsia" w:ascii="宋体" w:hAnsi="宋体" w:eastAsia="宋体" w:cs="宋体"/>
                <w:kern w:val="0"/>
                <w:sz w:val="24"/>
                <w:szCs w:val="24"/>
              </w:rPr>
              <w:t>个数</w:t>
            </w:r>
            <w:r>
              <w:rPr>
                <w:rFonts w:ascii="宋体" w:hAnsi="宋体" w:eastAsia="宋体" w:cs="宋体"/>
                <w:kern w:val="0"/>
                <w:sz w:val="24"/>
                <w:szCs w:val="24"/>
              </w:rPr>
              <w:t>≥50</w:t>
            </w:r>
            <w:r>
              <w:rPr>
                <w:rFonts w:hint="eastAsia" w:ascii="宋体" w:hAnsi="宋体" w:eastAsia="宋体" w:cs="宋体"/>
                <w:kern w:val="0"/>
                <w:sz w:val="24"/>
                <w:szCs w:val="24"/>
              </w:rPr>
              <w:t>个</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4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rPr>
                <w:rFonts w:ascii="宋体" w:hAnsi="宋体" w:eastAsia="宋体" w:cs="宋体"/>
                <w:kern w:val="0"/>
                <w:sz w:val="24"/>
                <w:szCs w:val="24"/>
              </w:rPr>
            </w:pPr>
            <w:r>
              <w:rPr>
                <w:rFonts w:ascii="宋体" w:hAnsi="宋体" w:eastAsia="宋体" w:cs="宋体"/>
                <w:kern w:val="0"/>
                <w:sz w:val="24"/>
                <w:szCs w:val="24"/>
              </w:rPr>
              <w:t xml:space="preserve">7 </w:t>
            </w:r>
            <w:r>
              <w:rPr>
                <w:rFonts w:hint="eastAsia" w:ascii="宋体" w:hAnsi="宋体" w:eastAsia="宋体" w:cs="宋体"/>
                <w:kern w:val="0"/>
                <w:sz w:val="24"/>
                <w:szCs w:val="24"/>
              </w:rPr>
              <w:t>支持生成树</w:t>
            </w:r>
            <w:r>
              <w:rPr>
                <w:rFonts w:ascii="宋体" w:hAnsi="宋体" w:eastAsia="宋体" w:cs="宋体"/>
                <w:kern w:val="0"/>
                <w:sz w:val="24"/>
                <w:szCs w:val="24"/>
              </w:rPr>
              <w:t xml:space="preserve"> STP / RSTP ; </w:t>
            </w:r>
            <w:r>
              <w:rPr>
                <w:rFonts w:hint="eastAsia" w:ascii="宋体" w:hAnsi="宋体" w:eastAsia="宋体" w:cs="宋体"/>
                <w:kern w:val="0"/>
                <w:sz w:val="24"/>
                <w:szCs w:val="24"/>
              </w:rPr>
              <w:t>提高容错能力，保证网络的稳定运行和链路的负载均衡，合理使用网络通道，提供冗余链路利用率。</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rPr>
                <w:rFonts w:ascii="宋体" w:hAnsi="宋体" w:eastAsia="宋体" w:cs="宋体"/>
                <w:kern w:val="0"/>
                <w:sz w:val="24"/>
                <w:szCs w:val="24"/>
              </w:rPr>
            </w:pPr>
            <w:r>
              <w:rPr>
                <w:rFonts w:ascii="宋体" w:hAnsi="宋体" w:eastAsia="宋体" w:cs="宋体"/>
                <w:kern w:val="0"/>
                <w:sz w:val="24"/>
                <w:szCs w:val="24"/>
              </w:rPr>
              <w:t xml:space="preserve">8 </w:t>
            </w:r>
            <w:r>
              <w:rPr>
                <w:rFonts w:hint="eastAsia" w:ascii="宋体" w:hAnsi="宋体" w:eastAsia="宋体" w:cs="宋体"/>
                <w:kern w:val="0"/>
                <w:sz w:val="24"/>
                <w:szCs w:val="24"/>
              </w:rPr>
              <w:t>支持防环路检测，自动解决环路问题</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000000" w:fill="FFFFFF"/>
            <w:vAlign w:val="center"/>
          </w:tcPr>
          <w:p>
            <w:pPr>
              <w:widowControl/>
              <w:rPr>
                <w:rFonts w:ascii="宋体" w:hAnsi="宋体" w:eastAsia="宋体" w:cs="宋体"/>
                <w:kern w:val="0"/>
                <w:sz w:val="24"/>
                <w:szCs w:val="24"/>
              </w:rPr>
            </w:pPr>
            <w:r>
              <w:rPr>
                <w:rFonts w:ascii="宋体" w:hAnsi="宋体" w:eastAsia="宋体" w:cs="宋体"/>
                <w:kern w:val="0"/>
                <w:sz w:val="24"/>
                <w:szCs w:val="24"/>
              </w:rPr>
              <w:t xml:space="preserve">9 </w:t>
            </w:r>
            <w:r>
              <w:rPr>
                <w:rFonts w:hint="eastAsia" w:ascii="宋体" w:hAnsi="宋体" w:eastAsia="宋体" w:cs="宋体"/>
                <w:kern w:val="0"/>
                <w:sz w:val="24"/>
                <w:szCs w:val="24"/>
              </w:rPr>
              <w:t>工作温度范围</w:t>
            </w:r>
            <w:r>
              <w:rPr>
                <w:rFonts w:ascii="宋体" w:hAnsi="宋体" w:eastAsia="宋体" w:cs="宋体"/>
                <w:kern w:val="0"/>
                <w:sz w:val="24"/>
                <w:szCs w:val="24"/>
              </w:rPr>
              <w:t>0ºC ~ 45ºC.</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339" w:type="pc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22" w:type="pct"/>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千兆单模光模块</w:t>
            </w:r>
          </w:p>
        </w:tc>
        <w:tc>
          <w:tcPr>
            <w:tcW w:w="2941" w:type="pct"/>
            <w:tcBorders>
              <w:top w:val="nil"/>
              <w:left w:val="nil"/>
              <w:bottom w:val="single" w:color="000000" w:sz="8" w:space="0"/>
              <w:right w:val="single" w:color="000000" w:sz="8" w:space="0"/>
            </w:tcBorders>
            <w:shd w:val="clear" w:color="000000" w:fill="FFFFFF"/>
            <w:vAlign w:val="center"/>
          </w:tcPr>
          <w:p>
            <w:pPr>
              <w:widowControl/>
              <w:rPr>
                <w:rFonts w:ascii="宋体" w:hAnsi="宋体" w:eastAsia="宋体" w:cs="宋体"/>
                <w:kern w:val="0"/>
                <w:sz w:val="24"/>
                <w:szCs w:val="24"/>
              </w:rPr>
            </w:pPr>
            <w:r>
              <w:rPr>
                <w:rFonts w:ascii="宋体" w:hAnsi="宋体" w:eastAsia="宋体" w:cs="宋体"/>
                <w:kern w:val="0"/>
                <w:sz w:val="24"/>
                <w:szCs w:val="24"/>
              </w:rPr>
              <w:t>1000BASE-LX mini GBIC</w:t>
            </w:r>
            <w:r>
              <w:rPr>
                <w:rFonts w:hint="eastAsia" w:ascii="宋体" w:hAnsi="宋体" w:eastAsia="宋体" w:cs="宋体"/>
                <w:kern w:val="0"/>
                <w:sz w:val="24"/>
                <w:szCs w:val="24"/>
              </w:rPr>
              <w:t>转换模块（</w:t>
            </w:r>
            <w:r>
              <w:rPr>
                <w:rFonts w:ascii="宋体" w:hAnsi="宋体" w:eastAsia="宋体" w:cs="宋体"/>
                <w:kern w:val="0"/>
                <w:sz w:val="24"/>
                <w:szCs w:val="24"/>
              </w:rPr>
              <w:t>1310nm</w:t>
            </w:r>
            <w:r>
              <w:rPr>
                <w:rFonts w:hint="eastAsia" w:ascii="宋体" w:hAnsi="宋体" w:eastAsia="宋体" w:cs="宋体"/>
                <w:kern w:val="0"/>
                <w:sz w:val="24"/>
                <w:szCs w:val="24"/>
              </w:rPr>
              <w:t>），</w:t>
            </w:r>
            <w:r>
              <w:rPr>
                <w:rFonts w:ascii="宋体" w:hAnsi="宋体" w:eastAsia="宋体" w:cs="宋体"/>
                <w:kern w:val="0"/>
                <w:sz w:val="24"/>
                <w:szCs w:val="24"/>
              </w:rPr>
              <w:t>10km</w:t>
            </w:r>
            <w:r>
              <w:rPr>
                <w:rFonts w:hint="eastAsia" w:ascii="宋体" w:hAnsi="宋体" w:eastAsia="宋体" w:cs="宋体"/>
                <w:kern w:val="0"/>
                <w:sz w:val="24"/>
                <w:szCs w:val="24"/>
              </w:rPr>
              <w:t>，单模</w:t>
            </w:r>
          </w:p>
        </w:tc>
        <w:tc>
          <w:tcPr>
            <w:tcW w:w="446" w:type="pct"/>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552" w:type="pct"/>
            <w:tcBorders>
              <w:top w:val="nil"/>
              <w:left w:val="nil"/>
              <w:bottom w:val="single" w:color="000000" w:sz="8" w:space="0"/>
              <w:right w:val="single" w:color="auto" w:sz="8"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101</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21</w:t>
            </w:r>
          </w:p>
        </w:tc>
        <w:tc>
          <w:tcPr>
            <w:tcW w:w="722" w:type="pct"/>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监控设备立杆</w:t>
            </w:r>
          </w:p>
        </w:tc>
        <w:tc>
          <w:tcPr>
            <w:tcW w:w="2941" w:type="pct"/>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室外4米镀锌钢管（含基础）</w:t>
            </w:r>
          </w:p>
        </w:tc>
        <w:tc>
          <w:tcPr>
            <w:tcW w:w="446" w:type="pct"/>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根</w:t>
            </w:r>
          </w:p>
        </w:tc>
        <w:tc>
          <w:tcPr>
            <w:tcW w:w="552" w:type="pct"/>
            <w:tcBorders>
              <w:top w:val="nil"/>
              <w:left w:val="nil"/>
              <w:bottom w:val="single" w:color="000000" w:sz="8" w:space="0"/>
              <w:right w:val="single" w:color="auto" w:sz="8"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14</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22</w:t>
            </w:r>
          </w:p>
        </w:tc>
        <w:tc>
          <w:tcPr>
            <w:tcW w:w="722" w:type="pct"/>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室外二合一防雷器</w:t>
            </w:r>
          </w:p>
        </w:tc>
        <w:tc>
          <w:tcPr>
            <w:tcW w:w="2941" w:type="pct"/>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国标</w:t>
            </w:r>
          </w:p>
        </w:tc>
        <w:tc>
          <w:tcPr>
            <w:tcW w:w="446" w:type="pct"/>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552" w:type="pct"/>
            <w:tcBorders>
              <w:top w:val="nil"/>
              <w:left w:val="nil"/>
              <w:bottom w:val="single" w:color="000000" w:sz="8" w:space="0"/>
              <w:right w:val="single" w:color="auto" w:sz="8"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w:t>
            </w:r>
          </w:p>
        </w:tc>
      </w:tr>
      <w:tr>
        <w:tblPrEx>
          <w:tblCellMar>
            <w:top w:w="0" w:type="dxa"/>
            <w:left w:w="108" w:type="dxa"/>
            <w:bottom w:w="0" w:type="dxa"/>
            <w:right w:w="108" w:type="dxa"/>
          </w:tblCellMar>
        </w:tblPrEx>
        <w:trPr>
          <w:trHeight w:val="285" w:hRule="atLeast"/>
        </w:trPr>
        <w:tc>
          <w:tcPr>
            <w:tcW w:w="339" w:type="pc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23</w:t>
            </w:r>
          </w:p>
        </w:tc>
        <w:tc>
          <w:tcPr>
            <w:tcW w:w="722" w:type="pct"/>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10A24v电源</w:t>
            </w:r>
          </w:p>
        </w:tc>
        <w:tc>
          <w:tcPr>
            <w:tcW w:w="2941" w:type="pct"/>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国标</w:t>
            </w:r>
          </w:p>
        </w:tc>
        <w:tc>
          <w:tcPr>
            <w:tcW w:w="446" w:type="pct"/>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552" w:type="pct"/>
            <w:tcBorders>
              <w:top w:val="nil"/>
              <w:left w:val="nil"/>
              <w:bottom w:val="single" w:color="000000" w:sz="8" w:space="0"/>
              <w:right w:val="single" w:color="auto" w:sz="8" w:space="0"/>
            </w:tcBorders>
            <w:shd w:val="clear" w:color="000000" w:fill="FFFFFF"/>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48</w:t>
            </w:r>
          </w:p>
        </w:tc>
      </w:tr>
      <w:tr>
        <w:tblPrEx>
          <w:tblCellMar>
            <w:top w:w="0" w:type="dxa"/>
            <w:left w:w="108" w:type="dxa"/>
            <w:bottom w:w="0" w:type="dxa"/>
            <w:right w:w="108" w:type="dxa"/>
          </w:tblCellMar>
        </w:tblPrEx>
        <w:trPr>
          <w:trHeight w:val="80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themeColor="text1"/>
                <w:kern w:val="0"/>
                <w:sz w:val="24"/>
                <w:szCs w:val="24"/>
              </w:rPr>
              <w:t>二</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themeColor="text1"/>
                <w:kern w:val="0"/>
                <w:sz w:val="24"/>
                <w:szCs w:val="24"/>
              </w:rPr>
              <w:t>各楼栋消防控制室</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trPr>
        <w:tc>
          <w:tcPr>
            <w:tcW w:w="339" w:type="pct"/>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22"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24口光纤配线架（含耦合器面板）</w:t>
            </w:r>
          </w:p>
        </w:tc>
        <w:tc>
          <w:tcPr>
            <w:tcW w:w="2941" w:type="pct"/>
            <w:tcBorders>
              <w:top w:val="nil"/>
              <w:left w:val="nil"/>
              <w:bottom w:val="nil"/>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1.19’标准机架式内可固定之终端收容箱。</w:t>
            </w:r>
          </w:p>
        </w:tc>
        <w:tc>
          <w:tcPr>
            <w:tcW w:w="44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552" w:type="pct"/>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2.高密度，1HU最多可支持48芯LC耦合器。</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3.模块化配置，产品所配置面板为单元模块卡接式，灵活装卸。</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4.箱内自带水平理线环及跳线管理装置，可提供弯曲半径保护。</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5.抽屉式结构，采用不锈钢导轨，确保抽屉推拉顺畅。</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6.自带有标签装置，可以对每个端口进行标识与定义。</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7.配线架前面板可灵活拆卸，满足灵活安装适配器需求。</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8.配线架表面经防静电喷涂及防盐雾处理。</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trPr>
        <w:tc>
          <w:tcPr>
            <w:tcW w:w="339" w:type="pct"/>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722"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LC双工藕合器</w:t>
            </w:r>
          </w:p>
        </w:tc>
        <w:tc>
          <w:tcPr>
            <w:tcW w:w="2941" w:type="pct"/>
            <w:tcBorders>
              <w:top w:val="nil"/>
              <w:left w:val="nil"/>
              <w:bottom w:val="nil"/>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1）选用LC光纤耦合器，陶瓷套筒。</w:t>
            </w:r>
          </w:p>
        </w:tc>
        <w:tc>
          <w:tcPr>
            <w:tcW w:w="44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552" w:type="pct"/>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196</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2）性能符合ISO/IEC 1801 2版 2002和ANSI/TIA/EIA-568-B系列标准中连接件要求。</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3）插入损耗&lt;0.3dB。</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trPr>
        <w:tc>
          <w:tcPr>
            <w:tcW w:w="339" w:type="pct"/>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22"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双芯单模光纤跳线-3米</w:t>
            </w:r>
          </w:p>
        </w:tc>
        <w:tc>
          <w:tcPr>
            <w:tcW w:w="2941" w:type="pct"/>
            <w:tcBorders>
              <w:top w:val="nil"/>
              <w:left w:val="nil"/>
              <w:bottom w:val="nil"/>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1)光纤规格：单模9/125µm</w:t>
            </w:r>
          </w:p>
        </w:tc>
        <w:tc>
          <w:tcPr>
            <w:tcW w:w="44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根</w:t>
            </w:r>
          </w:p>
        </w:tc>
        <w:tc>
          <w:tcPr>
            <w:tcW w:w="552" w:type="pct"/>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94</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2)执行标准：ISO/IEC 11801:2002 Ed2.0，ANSI/TIA 568C.3</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3)护套材质：低烟无卤护套</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4)双工跳线的2芯采用不同颜色，以方便识别正确的极性状态；</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5）平均插入损耗：&lt;0.3dB。</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trPr>
        <w:tc>
          <w:tcPr>
            <w:tcW w:w="339" w:type="pct"/>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22"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1.5米单模尾纤</w:t>
            </w:r>
          </w:p>
        </w:tc>
        <w:tc>
          <w:tcPr>
            <w:tcW w:w="2941" w:type="pct"/>
            <w:tcBorders>
              <w:top w:val="nil"/>
              <w:left w:val="nil"/>
              <w:bottom w:val="nil"/>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1.性能超过ANSI/TIA-568-C.3中关于光纤连接硬件的规范要求。2.插入损耗：单模:≤0.3dB@1310nm/1550nm</w:t>
            </w:r>
          </w:p>
        </w:tc>
        <w:tc>
          <w:tcPr>
            <w:tcW w:w="44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根</w:t>
            </w:r>
          </w:p>
        </w:tc>
        <w:tc>
          <w:tcPr>
            <w:tcW w:w="552" w:type="pct"/>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392</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2.回拨损耗：单模:≥50dB@1310nm/1550nm</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3.重复插拔：≤0.2dB，每500次插拔</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auto" w:sz="8" w:space="0"/>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4.连接头衰耗：0.2dB</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光纤熔接</w:t>
            </w:r>
          </w:p>
        </w:tc>
        <w:tc>
          <w:tcPr>
            <w:tcW w:w="294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国标</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根</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392</w:t>
            </w:r>
          </w:p>
        </w:tc>
      </w:tr>
      <w:tr>
        <w:tblPrEx>
          <w:tblCellMar>
            <w:top w:w="0" w:type="dxa"/>
            <w:left w:w="108" w:type="dxa"/>
            <w:bottom w:w="0" w:type="dxa"/>
            <w:right w:w="108" w:type="dxa"/>
          </w:tblCellMar>
        </w:tblPrEx>
        <w:trPr>
          <w:trHeight w:val="285" w:hRule="atLeast"/>
        </w:trPr>
        <w:tc>
          <w:tcPr>
            <w:tcW w:w="339" w:type="pct"/>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22"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24口汇聚交换机</w:t>
            </w: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、交换容量</w:t>
            </w:r>
            <w:r>
              <w:rPr>
                <w:rFonts w:ascii="宋体" w:hAnsi="宋体" w:eastAsia="宋体" w:cs="宋体"/>
                <w:kern w:val="0"/>
                <w:sz w:val="24"/>
                <w:szCs w:val="24"/>
              </w:rPr>
              <w:t>≥7Tbps</w:t>
            </w:r>
          </w:p>
        </w:tc>
        <w:tc>
          <w:tcPr>
            <w:tcW w:w="44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552" w:type="pct"/>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Calibri" w:hAnsi="Calibri" w:eastAsia="宋体" w:cs="宋体"/>
                <w:color w:val="000000"/>
                <w:kern w:val="0"/>
                <w:szCs w:val="21"/>
              </w:rPr>
            </w:pPr>
            <w:r>
              <w:rPr>
                <w:rFonts w:ascii="Calibri" w:hAnsi="Calibri" w:eastAsia="宋体" w:cs="宋体"/>
                <w:color w:val="000000"/>
                <w:kern w:val="0"/>
                <w:szCs w:val="21"/>
              </w:rPr>
              <w:t>9</w:t>
            </w: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、包转发率</w:t>
            </w:r>
            <w:r>
              <w:rPr>
                <w:rFonts w:ascii="宋体" w:hAnsi="宋体" w:eastAsia="宋体" w:cs="宋体"/>
                <w:kern w:val="0"/>
                <w:sz w:val="24"/>
                <w:szCs w:val="24"/>
              </w:rPr>
              <w:t>≥426Mpps</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Calibri" w:hAnsi="Calibri" w:eastAsia="宋体" w:cs="宋体"/>
                <w:color w:val="000000"/>
                <w:kern w:val="0"/>
                <w:szCs w:val="21"/>
              </w:rPr>
            </w:pPr>
          </w:p>
        </w:tc>
      </w:tr>
      <w:tr>
        <w:tblPrEx>
          <w:tblCellMar>
            <w:top w:w="0" w:type="dxa"/>
            <w:left w:w="108" w:type="dxa"/>
            <w:bottom w:w="0" w:type="dxa"/>
            <w:right w:w="108" w:type="dxa"/>
          </w:tblCellMar>
        </w:tblPrEx>
        <w:trPr>
          <w:trHeight w:val="54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、固化</w:t>
            </w:r>
            <w:r>
              <w:rPr>
                <w:rFonts w:ascii="宋体" w:hAnsi="宋体" w:eastAsia="宋体" w:cs="宋体"/>
                <w:kern w:val="0"/>
                <w:sz w:val="24"/>
                <w:szCs w:val="24"/>
              </w:rPr>
              <w:t>24</w:t>
            </w:r>
            <w:r>
              <w:rPr>
                <w:rFonts w:hint="eastAsia" w:ascii="宋体" w:hAnsi="宋体" w:eastAsia="宋体" w:cs="宋体"/>
                <w:kern w:val="0"/>
                <w:sz w:val="24"/>
                <w:szCs w:val="24"/>
              </w:rPr>
              <w:t>个</w:t>
            </w:r>
            <w:r>
              <w:rPr>
                <w:rFonts w:ascii="宋体" w:hAnsi="宋体" w:eastAsia="宋体" w:cs="宋体"/>
                <w:kern w:val="0"/>
                <w:sz w:val="24"/>
                <w:szCs w:val="24"/>
              </w:rPr>
              <w:t>1000M SFP</w:t>
            </w:r>
            <w:r>
              <w:rPr>
                <w:rFonts w:hint="eastAsia" w:ascii="宋体" w:hAnsi="宋体" w:eastAsia="宋体" w:cs="宋体"/>
                <w:kern w:val="0"/>
                <w:sz w:val="24"/>
                <w:szCs w:val="24"/>
              </w:rPr>
              <w:t>光口，</w:t>
            </w:r>
            <w:r>
              <w:rPr>
                <w:rFonts w:ascii="宋体" w:hAnsi="宋体" w:eastAsia="宋体" w:cs="宋体"/>
                <w:kern w:val="0"/>
                <w:sz w:val="24"/>
                <w:szCs w:val="24"/>
              </w:rPr>
              <w:t>8</w:t>
            </w:r>
            <w:r>
              <w:rPr>
                <w:rFonts w:hint="eastAsia" w:ascii="宋体" w:hAnsi="宋体" w:eastAsia="宋体" w:cs="宋体"/>
                <w:kern w:val="0"/>
                <w:sz w:val="24"/>
                <w:szCs w:val="24"/>
              </w:rPr>
              <w:t>个复用的</w:t>
            </w:r>
            <w:r>
              <w:rPr>
                <w:rFonts w:ascii="宋体" w:hAnsi="宋体" w:eastAsia="宋体" w:cs="宋体"/>
                <w:kern w:val="0"/>
                <w:sz w:val="24"/>
                <w:szCs w:val="24"/>
              </w:rPr>
              <w:t>10/100/1000Mbps</w:t>
            </w:r>
            <w:r>
              <w:rPr>
                <w:rFonts w:hint="eastAsia" w:ascii="宋体" w:hAnsi="宋体" w:eastAsia="宋体" w:cs="宋体"/>
                <w:kern w:val="0"/>
                <w:sz w:val="24"/>
                <w:szCs w:val="24"/>
              </w:rPr>
              <w:t>电口，</w:t>
            </w:r>
            <w:r>
              <w:rPr>
                <w:rFonts w:ascii="宋体" w:hAnsi="宋体" w:eastAsia="宋体" w:cs="宋体"/>
                <w:kern w:val="0"/>
                <w:sz w:val="24"/>
                <w:szCs w:val="24"/>
              </w:rPr>
              <w:t>8</w:t>
            </w:r>
            <w:r>
              <w:rPr>
                <w:rFonts w:hint="eastAsia" w:ascii="宋体" w:hAnsi="宋体" w:eastAsia="宋体" w:cs="宋体"/>
                <w:kern w:val="0"/>
                <w:sz w:val="24"/>
                <w:szCs w:val="24"/>
              </w:rPr>
              <w:t>个</w:t>
            </w:r>
            <w:r>
              <w:rPr>
                <w:rFonts w:ascii="宋体" w:hAnsi="宋体" w:eastAsia="宋体" w:cs="宋体"/>
                <w:kern w:val="0"/>
                <w:sz w:val="24"/>
                <w:szCs w:val="24"/>
              </w:rPr>
              <w:t>1G/10G SFP+</w:t>
            </w:r>
            <w:r>
              <w:rPr>
                <w:rFonts w:hint="eastAsia" w:ascii="宋体" w:hAnsi="宋体" w:eastAsia="宋体" w:cs="宋体"/>
                <w:kern w:val="0"/>
                <w:sz w:val="24"/>
                <w:szCs w:val="24"/>
              </w:rPr>
              <w:t>光口，支持在</w:t>
            </w:r>
            <w:r>
              <w:rPr>
                <w:rFonts w:ascii="宋体" w:hAnsi="宋体" w:eastAsia="宋体" w:cs="宋体"/>
                <w:kern w:val="0"/>
                <w:sz w:val="24"/>
                <w:szCs w:val="24"/>
              </w:rPr>
              <w:t>64Bytes-1518Bytes</w:t>
            </w:r>
            <w:r>
              <w:rPr>
                <w:rFonts w:hint="eastAsia" w:ascii="宋体" w:hAnsi="宋体" w:eastAsia="宋体" w:cs="宋体"/>
                <w:kern w:val="0"/>
                <w:sz w:val="24"/>
                <w:szCs w:val="24"/>
              </w:rPr>
              <w:t>下线速转发。</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Calibri" w:hAnsi="Calibri" w:eastAsia="宋体" w:cs="宋体"/>
                <w:color w:val="000000"/>
                <w:kern w:val="0"/>
                <w:szCs w:val="21"/>
              </w:rPr>
            </w:pP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ascii="宋体" w:hAnsi="宋体" w:eastAsia="宋体" w:cs="宋体"/>
                <w:kern w:val="0"/>
                <w:sz w:val="24"/>
                <w:szCs w:val="24"/>
              </w:rPr>
              <w:t>4</w:t>
            </w:r>
            <w:r>
              <w:rPr>
                <w:rFonts w:hint="eastAsia" w:ascii="宋体" w:hAnsi="宋体" w:eastAsia="宋体" w:cs="宋体"/>
                <w:kern w:val="0"/>
                <w:sz w:val="24"/>
                <w:szCs w:val="24"/>
              </w:rPr>
              <w:t>、整机采用绿色环保设计，满负荷情况下功耗</w:t>
            </w:r>
            <w:r>
              <w:rPr>
                <w:rFonts w:ascii="宋体" w:hAnsi="宋体" w:eastAsia="宋体" w:cs="宋体"/>
                <w:kern w:val="0"/>
                <w:sz w:val="24"/>
                <w:szCs w:val="24"/>
              </w:rPr>
              <w:t>≤60W</w:t>
            </w:r>
            <w:r>
              <w:rPr>
                <w:rFonts w:hint="eastAsia" w:ascii="宋体" w:hAnsi="宋体" w:eastAsia="宋体" w:cs="宋体"/>
                <w:kern w:val="0"/>
                <w:sz w:val="24"/>
                <w:szCs w:val="24"/>
              </w:rPr>
              <w:t>。</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Calibri" w:hAnsi="Calibri" w:eastAsia="宋体" w:cs="宋体"/>
                <w:color w:val="000000"/>
                <w:kern w:val="0"/>
                <w:szCs w:val="21"/>
              </w:rPr>
            </w:pP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、要求所投设备</w:t>
            </w:r>
            <w:r>
              <w:rPr>
                <w:rFonts w:ascii="宋体" w:hAnsi="宋体" w:eastAsia="宋体" w:cs="宋体"/>
                <w:kern w:val="0"/>
                <w:sz w:val="24"/>
                <w:szCs w:val="24"/>
              </w:rPr>
              <w:t>MAC</w:t>
            </w:r>
            <w:r>
              <w:rPr>
                <w:rFonts w:hint="eastAsia" w:ascii="宋体" w:hAnsi="宋体" w:eastAsia="宋体" w:cs="宋体"/>
                <w:kern w:val="0"/>
                <w:sz w:val="24"/>
                <w:szCs w:val="24"/>
              </w:rPr>
              <w:t>地址</w:t>
            </w:r>
            <w:r>
              <w:rPr>
                <w:rFonts w:ascii="宋体" w:hAnsi="宋体" w:eastAsia="宋体" w:cs="宋体"/>
                <w:kern w:val="0"/>
                <w:sz w:val="24"/>
                <w:szCs w:val="24"/>
              </w:rPr>
              <w:t>≥196K</w:t>
            </w:r>
            <w:r>
              <w:rPr>
                <w:rFonts w:hint="eastAsia" w:ascii="宋体" w:hAnsi="宋体" w:eastAsia="宋体" w:cs="宋体"/>
                <w:kern w:val="0"/>
                <w:sz w:val="24"/>
                <w:szCs w:val="24"/>
              </w:rPr>
              <w:t>，路由表项</w:t>
            </w:r>
            <w:r>
              <w:rPr>
                <w:rFonts w:ascii="宋体" w:hAnsi="宋体" w:eastAsia="宋体" w:cs="宋体"/>
                <w:kern w:val="0"/>
                <w:sz w:val="24"/>
                <w:szCs w:val="24"/>
              </w:rPr>
              <w:t>≥64K</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Calibri" w:hAnsi="Calibri" w:eastAsia="宋体" w:cs="宋体"/>
                <w:color w:val="000000"/>
                <w:kern w:val="0"/>
                <w:szCs w:val="21"/>
              </w:rPr>
            </w:pP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rPr>
              <w:t>、支持</w:t>
            </w:r>
            <w:r>
              <w:rPr>
                <w:rFonts w:ascii="宋体" w:hAnsi="宋体" w:eastAsia="宋体" w:cs="宋体"/>
                <w:kern w:val="0"/>
                <w:sz w:val="24"/>
                <w:szCs w:val="24"/>
              </w:rPr>
              <w:t>RIPv2</w:t>
            </w:r>
            <w:r>
              <w:rPr>
                <w:rFonts w:hint="eastAsia" w:ascii="宋体" w:hAnsi="宋体" w:eastAsia="宋体" w:cs="宋体"/>
                <w:kern w:val="0"/>
                <w:sz w:val="24"/>
                <w:szCs w:val="24"/>
              </w:rPr>
              <w:t>，</w:t>
            </w:r>
            <w:r>
              <w:rPr>
                <w:rFonts w:ascii="宋体" w:hAnsi="宋体" w:eastAsia="宋体" w:cs="宋体"/>
                <w:kern w:val="0"/>
                <w:sz w:val="24"/>
                <w:szCs w:val="24"/>
              </w:rPr>
              <w:t>OSPFv2/v3</w:t>
            </w:r>
            <w:r>
              <w:rPr>
                <w:rFonts w:hint="eastAsia" w:ascii="宋体" w:hAnsi="宋体" w:eastAsia="宋体" w:cs="宋体"/>
                <w:kern w:val="0"/>
                <w:sz w:val="24"/>
                <w:szCs w:val="24"/>
              </w:rPr>
              <w:t>，</w:t>
            </w:r>
            <w:r>
              <w:rPr>
                <w:rFonts w:ascii="宋体" w:hAnsi="宋体" w:eastAsia="宋体" w:cs="宋体"/>
                <w:kern w:val="0"/>
                <w:sz w:val="24"/>
                <w:szCs w:val="24"/>
              </w:rPr>
              <w:t>BGP4/4+</w:t>
            </w:r>
            <w:r>
              <w:rPr>
                <w:rFonts w:hint="eastAsia" w:ascii="宋体" w:hAnsi="宋体" w:eastAsia="宋体" w:cs="宋体"/>
                <w:kern w:val="0"/>
                <w:sz w:val="24"/>
                <w:szCs w:val="24"/>
              </w:rPr>
              <w:t>，</w:t>
            </w:r>
            <w:r>
              <w:rPr>
                <w:rFonts w:ascii="宋体" w:hAnsi="宋体" w:eastAsia="宋体" w:cs="宋体"/>
                <w:kern w:val="0"/>
                <w:sz w:val="24"/>
                <w:szCs w:val="24"/>
              </w:rPr>
              <w:t>IS-ISv4/v6</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Calibri" w:hAnsi="Calibri" w:eastAsia="宋体" w:cs="宋体"/>
                <w:color w:val="000000"/>
                <w:kern w:val="0"/>
                <w:szCs w:val="21"/>
              </w:rPr>
            </w:pP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ascii="宋体" w:hAnsi="宋体" w:eastAsia="宋体" w:cs="宋体"/>
                <w:kern w:val="0"/>
                <w:sz w:val="24"/>
                <w:szCs w:val="24"/>
              </w:rPr>
              <w:t>7</w:t>
            </w:r>
            <w:r>
              <w:rPr>
                <w:rFonts w:hint="eastAsia" w:ascii="宋体" w:hAnsi="宋体" w:eastAsia="宋体" w:cs="宋体"/>
                <w:kern w:val="0"/>
                <w:sz w:val="24"/>
                <w:szCs w:val="24"/>
              </w:rPr>
              <w:t>、支持</w:t>
            </w:r>
            <w:r>
              <w:rPr>
                <w:rFonts w:ascii="宋体" w:hAnsi="宋体" w:eastAsia="宋体" w:cs="宋体"/>
                <w:kern w:val="0"/>
                <w:sz w:val="24"/>
                <w:szCs w:val="24"/>
              </w:rPr>
              <w:t>IGMP v1/v2/v3</w:t>
            </w:r>
            <w:r>
              <w:rPr>
                <w:rFonts w:hint="eastAsia" w:ascii="宋体" w:hAnsi="宋体" w:eastAsia="宋体" w:cs="宋体"/>
                <w:kern w:val="0"/>
                <w:sz w:val="24"/>
                <w:szCs w:val="24"/>
              </w:rPr>
              <w:t>，</w:t>
            </w:r>
            <w:r>
              <w:rPr>
                <w:rFonts w:ascii="宋体" w:hAnsi="宋体" w:eastAsia="宋体" w:cs="宋体"/>
                <w:kern w:val="0"/>
                <w:sz w:val="24"/>
                <w:szCs w:val="24"/>
              </w:rPr>
              <w:t>PIM-SM</w:t>
            </w:r>
            <w:r>
              <w:rPr>
                <w:rFonts w:hint="eastAsia" w:ascii="宋体" w:hAnsi="宋体" w:eastAsia="宋体" w:cs="宋体"/>
                <w:kern w:val="0"/>
                <w:sz w:val="24"/>
                <w:szCs w:val="24"/>
              </w:rPr>
              <w:t>等组播协议</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Calibri" w:hAnsi="Calibri" w:eastAsia="宋体" w:cs="宋体"/>
                <w:color w:val="000000"/>
                <w:kern w:val="0"/>
                <w:szCs w:val="21"/>
              </w:rPr>
            </w:pP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ascii="宋体" w:hAnsi="宋体" w:eastAsia="宋体" w:cs="宋体"/>
                <w:kern w:val="0"/>
                <w:sz w:val="24"/>
                <w:szCs w:val="24"/>
              </w:rPr>
              <w:t>8</w:t>
            </w:r>
            <w:r>
              <w:rPr>
                <w:rFonts w:hint="eastAsia" w:ascii="宋体" w:hAnsi="宋体" w:eastAsia="宋体" w:cs="宋体"/>
                <w:kern w:val="0"/>
                <w:sz w:val="24"/>
                <w:szCs w:val="24"/>
              </w:rPr>
              <w:t>、支持基于</w:t>
            </w:r>
            <w:r>
              <w:rPr>
                <w:rFonts w:ascii="宋体" w:hAnsi="宋体" w:eastAsia="宋体" w:cs="宋体"/>
                <w:kern w:val="0"/>
                <w:sz w:val="24"/>
                <w:szCs w:val="24"/>
              </w:rPr>
              <w:t>IPv4/IPv6</w:t>
            </w:r>
            <w:r>
              <w:rPr>
                <w:rFonts w:hint="eastAsia" w:ascii="宋体" w:hAnsi="宋体" w:eastAsia="宋体" w:cs="宋体"/>
                <w:kern w:val="0"/>
                <w:sz w:val="24"/>
                <w:szCs w:val="24"/>
              </w:rPr>
              <w:t>五元组、基于源</w:t>
            </w:r>
            <w:r>
              <w:rPr>
                <w:rFonts w:ascii="宋体" w:hAnsi="宋体" w:eastAsia="宋体" w:cs="宋体"/>
                <w:kern w:val="0"/>
                <w:sz w:val="24"/>
                <w:szCs w:val="24"/>
              </w:rPr>
              <w:t>/</w:t>
            </w:r>
            <w:r>
              <w:rPr>
                <w:rFonts w:hint="eastAsia" w:ascii="宋体" w:hAnsi="宋体" w:eastAsia="宋体" w:cs="宋体"/>
                <w:kern w:val="0"/>
                <w:sz w:val="24"/>
                <w:szCs w:val="24"/>
              </w:rPr>
              <w:t>目的</w:t>
            </w:r>
            <w:r>
              <w:rPr>
                <w:rFonts w:ascii="宋体" w:hAnsi="宋体" w:eastAsia="宋体" w:cs="宋体"/>
                <w:kern w:val="0"/>
                <w:sz w:val="24"/>
                <w:szCs w:val="24"/>
              </w:rPr>
              <w:t>MAC</w:t>
            </w:r>
            <w:r>
              <w:rPr>
                <w:rFonts w:hint="eastAsia" w:ascii="宋体" w:hAnsi="宋体" w:eastAsia="宋体" w:cs="宋体"/>
                <w:kern w:val="0"/>
                <w:sz w:val="24"/>
                <w:szCs w:val="24"/>
              </w:rPr>
              <w:t>、基于</w:t>
            </w:r>
            <w:r>
              <w:rPr>
                <w:rFonts w:ascii="宋体" w:hAnsi="宋体" w:eastAsia="宋体" w:cs="宋体"/>
                <w:kern w:val="0"/>
                <w:sz w:val="24"/>
                <w:szCs w:val="24"/>
              </w:rPr>
              <w:t>VLAN</w:t>
            </w:r>
            <w:r>
              <w:rPr>
                <w:rFonts w:hint="eastAsia" w:ascii="宋体" w:hAnsi="宋体" w:eastAsia="宋体" w:cs="宋体"/>
                <w:kern w:val="0"/>
                <w:sz w:val="24"/>
                <w:szCs w:val="24"/>
              </w:rPr>
              <w:t>、基于</w:t>
            </w:r>
            <w:r>
              <w:rPr>
                <w:rFonts w:ascii="宋体" w:hAnsi="宋体" w:eastAsia="宋体" w:cs="宋体"/>
                <w:kern w:val="0"/>
                <w:sz w:val="24"/>
                <w:szCs w:val="24"/>
              </w:rPr>
              <w:t>802.1P</w:t>
            </w:r>
            <w:r>
              <w:rPr>
                <w:rFonts w:hint="eastAsia" w:ascii="宋体" w:hAnsi="宋体" w:eastAsia="宋体" w:cs="宋体"/>
                <w:kern w:val="0"/>
                <w:sz w:val="24"/>
                <w:szCs w:val="24"/>
              </w:rPr>
              <w:t>优先级的</w:t>
            </w:r>
            <w:r>
              <w:rPr>
                <w:rFonts w:ascii="宋体" w:hAnsi="宋体" w:eastAsia="宋体" w:cs="宋体"/>
                <w:kern w:val="0"/>
                <w:sz w:val="24"/>
                <w:szCs w:val="24"/>
              </w:rPr>
              <w:t>ACL</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Calibri" w:hAnsi="Calibri" w:eastAsia="宋体" w:cs="宋体"/>
                <w:color w:val="000000"/>
                <w:kern w:val="0"/>
                <w:szCs w:val="21"/>
              </w:rPr>
            </w:pPr>
          </w:p>
        </w:tc>
      </w:tr>
      <w:tr>
        <w:tblPrEx>
          <w:tblCellMar>
            <w:top w:w="0" w:type="dxa"/>
            <w:left w:w="108" w:type="dxa"/>
            <w:bottom w:w="0" w:type="dxa"/>
            <w:right w:w="108" w:type="dxa"/>
          </w:tblCellMar>
        </w:tblPrEx>
        <w:trPr>
          <w:trHeight w:val="5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ascii="宋体" w:hAnsi="宋体" w:eastAsia="宋体" w:cs="宋体"/>
                <w:kern w:val="0"/>
                <w:sz w:val="24"/>
                <w:szCs w:val="24"/>
              </w:rPr>
              <w:t>9</w:t>
            </w:r>
            <w:r>
              <w:rPr>
                <w:rFonts w:hint="eastAsia" w:ascii="宋体" w:hAnsi="宋体" w:eastAsia="宋体" w:cs="宋体"/>
                <w:kern w:val="0"/>
                <w:sz w:val="24"/>
                <w:szCs w:val="24"/>
              </w:rPr>
              <w:t>、支持特有的</w:t>
            </w:r>
            <w:r>
              <w:rPr>
                <w:rFonts w:ascii="宋体" w:hAnsi="宋体" w:eastAsia="宋体" w:cs="宋体"/>
                <w:kern w:val="0"/>
                <w:sz w:val="24"/>
                <w:szCs w:val="24"/>
              </w:rPr>
              <w:t>CPU</w:t>
            </w:r>
            <w:r>
              <w:rPr>
                <w:rFonts w:hint="eastAsia" w:ascii="宋体" w:hAnsi="宋体" w:eastAsia="宋体" w:cs="宋体"/>
                <w:kern w:val="0"/>
                <w:sz w:val="24"/>
                <w:szCs w:val="24"/>
              </w:rPr>
              <w:t>保护策略，对发往</w:t>
            </w:r>
            <w:r>
              <w:rPr>
                <w:rFonts w:ascii="宋体" w:hAnsi="宋体" w:eastAsia="宋体" w:cs="宋体"/>
                <w:kern w:val="0"/>
                <w:sz w:val="24"/>
                <w:szCs w:val="24"/>
              </w:rPr>
              <w:t>CPU</w:t>
            </w:r>
            <w:r>
              <w:rPr>
                <w:rFonts w:hint="eastAsia" w:ascii="宋体" w:hAnsi="宋体" w:eastAsia="宋体" w:cs="宋体"/>
                <w:kern w:val="0"/>
                <w:sz w:val="24"/>
                <w:szCs w:val="24"/>
              </w:rPr>
              <w:t>的数据流，进行流区分和优先级队列分级处理，并根据需要实施带宽限速，充分保护</w:t>
            </w:r>
            <w:r>
              <w:rPr>
                <w:rFonts w:ascii="宋体" w:hAnsi="宋体" w:eastAsia="宋体" w:cs="宋体"/>
                <w:kern w:val="0"/>
                <w:sz w:val="24"/>
                <w:szCs w:val="24"/>
              </w:rPr>
              <w:t>CPU</w:t>
            </w:r>
            <w:r>
              <w:rPr>
                <w:rFonts w:hint="eastAsia" w:ascii="宋体" w:hAnsi="宋体" w:eastAsia="宋体" w:cs="宋体"/>
                <w:kern w:val="0"/>
                <w:sz w:val="24"/>
                <w:szCs w:val="24"/>
              </w:rPr>
              <w:t>不被非法流量占用、恶意攻击和资源消耗</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Calibri" w:hAnsi="Calibri" w:eastAsia="宋体" w:cs="宋体"/>
                <w:color w:val="000000"/>
                <w:kern w:val="0"/>
                <w:szCs w:val="21"/>
              </w:rPr>
            </w:pPr>
          </w:p>
        </w:tc>
      </w:tr>
      <w:tr>
        <w:tblPrEx>
          <w:tblCellMar>
            <w:top w:w="0" w:type="dxa"/>
            <w:left w:w="108" w:type="dxa"/>
            <w:bottom w:w="0" w:type="dxa"/>
            <w:right w:w="108" w:type="dxa"/>
          </w:tblCellMar>
        </w:tblPrEx>
        <w:trPr>
          <w:trHeight w:val="5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、支持硬件层级双</w:t>
            </w:r>
            <w:r>
              <w:rPr>
                <w:rFonts w:ascii="宋体" w:hAnsi="宋体" w:eastAsia="宋体" w:cs="宋体"/>
                <w:kern w:val="0"/>
                <w:sz w:val="24"/>
                <w:szCs w:val="24"/>
              </w:rPr>
              <w:t>boot</w:t>
            </w:r>
            <w:r>
              <w:rPr>
                <w:rFonts w:hint="eastAsia" w:ascii="宋体" w:hAnsi="宋体" w:eastAsia="宋体" w:cs="宋体"/>
                <w:kern w:val="0"/>
                <w:sz w:val="24"/>
                <w:szCs w:val="24"/>
              </w:rPr>
              <w:t>，采用两个</w:t>
            </w:r>
            <w:r>
              <w:rPr>
                <w:rFonts w:ascii="宋体" w:hAnsi="宋体" w:eastAsia="宋体" w:cs="宋体"/>
                <w:kern w:val="0"/>
                <w:sz w:val="24"/>
                <w:szCs w:val="24"/>
              </w:rPr>
              <w:t>FLASH</w:t>
            </w:r>
            <w:r>
              <w:rPr>
                <w:rFonts w:hint="eastAsia" w:ascii="宋体" w:hAnsi="宋体" w:eastAsia="宋体" w:cs="宋体"/>
                <w:kern w:val="0"/>
                <w:sz w:val="24"/>
                <w:szCs w:val="24"/>
              </w:rPr>
              <w:t>芯片存储</w:t>
            </w:r>
            <w:r>
              <w:rPr>
                <w:rFonts w:ascii="宋体" w:hAnsi="宋体" w:eastAsia="宋体" w:cs="宋体"/>
                <w:kern w:val="0"/>
                <w:sz w:val="24"/>
                <w:szCs w:val="24"/>
              </w:rPr>
              <w:t>boot</w:t>
            </w:r>
            <w:r>
              <w:rPr>
                <w:rFonts w:hint="eastAsia" w:ascii="宋体" w:hAnsi="宋体" w:eastAsia="宋体" w:cs="宋体"/>
                <w:kern w:val="0"/>
                <w:sz w:val="24"/>
                <w:szCs w:val="24"/>
              </w:rPr>
              <w:t>软件（系统引导程序），实现硬件级</w:t>
            </w:r>
            <w:r>
              <w:rPr>
                <w:rFonts w:ascii="宋体" w:hAnsi="宋体" w:eastAsia="宋体" w:cs="宋体"/>
                <w:kern w:val="0"/>
                <w:sz w:val="24"/>
                <w:szCs w:val="24"/>
              </w:rPr>
              <w:t>boot</w:t>
            </w:r>
            <w:r>
              <w:rPr>
                <w:rFonts w:hint="eastAsia" w:ascii="宋体" w:hAnsi="宋体" w:eastAsia="宋体" w:cs="宋体"/>
                <w:kern w:val="0"/>
                <w:sz w:val="24"/>
                <w:szCs w:val="24"/>
              </w:rPr>
              <w:t>冗余备份，避免因</w:t>
            </w:r>
            <w:r>
              <w:rPr>
                <w:rFonts w:ascii="宋体" w:hAnsi="宋体" w:eastAsia="宋体" w:cs="宋体"/>
                <w:kern w:val="0"/>
                <w:sz w:val="24"/>
                <w:szCs w:val="24"/>
              </w:rPr>
              <w:t>FLASH</w:t>
            </w:r>
            <w:r>
              <w:rPr>
                <w:rFonts w:hint="eastAsia" w:ascii="宋体" w:hAnsi="宋体" w:eastAsia="宋体" w:cs="宋体"/>
                <w:kern w:val="0"/>
                <w:sz w:val="24"/>
                <w:szCs w:val="24"/>
              </w:rPr>
              <w:t>芯片故障导致交换机无法启动。</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Calibri" w:hAnsi="Calibri" w:eastAsia="宋体" w:cs="宋体"/>
                <w:color w:val="000000"/>
                <w:kern w:val="0"/>
                <w:szCs w:val="21"/>
              </w:rPr>
            </w:pPr>
          </w:p>
        </w:tc>
      </w:tr>
      <w:tr>
        <w:tblPrEx>
          <w:tblCellMar>
            <w:top w:w="0" w:type="dxa"/>
            <w:left w:w="108" w:type="dxa"/>
            <w:bottom w:w="0" w:type="dxa"/>
            <w:right w:w="108" w:type="dxa"/>
          </w:tblCellMar>
        </w:tblPrEx>
        <w:trPr>
          <w:trHeight w:val="54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ascii="宋体" w:hAnsi="宋体" w:eastAsia="宋体" w:cs="宋体"/>
                <w:kern w:val="0"/>
                <w:sz w:val="24"/>
                <w:szCs w:val="24"/>
              </w:rPr>
              <w:t>11</w:t>
            </w:r>
            <w:r>
              <w:rPr>
                <w:rFonts w:hint="eastAsia" w:ascii="宋体" w:hAnsi="宋体" w:eastAsia="宋体" w:cs="宋体"/>
                <w:kern w:val="0"/>
                <w:sz w:val="24"/>
                <w:szCs w:val="24"/>
              </w:rPr>
              <w:t>、支持基础网络保护策略，限制用户向网络中发送</w:t>
            </w:r>
            <w:r>
              <w:rPr>
                <w:rFonts w:ascii="宋体" w:hAnsi="宋体" w:eastAsia="宋体" w:cs="宋体"/>
                <w:kern w:val="0"/>
                <w:sz w:val="24"/>
                <w:szCs w:val="24"/>
              </w:rPr>
              <w:t>ARP</w:t>
            </w:r>
            <w:r>
              <w:rPr>
                <w:rFonts w:hint="eastAsia" w:ascii="宋体" w:hAnsi="宋体" w:eastAsia="宋体" w:cs="宋体"/>
                <w:kern w:val="0"/>
                <w:sz w:val="24"/>
                <w:szCs w:val="24"/>
              </w:rPr>
              <w:t>报文、</w:t>
            </w:r>
            <w:r>
              <w:rPr>
                <w:rFonts w:ascii="宋体" w:hAnsi="宋体" w:eastAsia="宋体" w:cs="宋体"/>
                <w:kern w:val="0"/>
                <w:sz w:val="24"/>
                <w:szCs w:val="24"/>
              </w:rPr>
              <w:t>ICMP</w:t>
            </w:r>
            <w:r>
              <w:rPr>
                <w:rFonts w:hint="eastAsia" w:ascii="宋体" w:hAnsi="宋体" w:eastAsia="宋体" w:cs="宋体"/>
                <w:kern w:val="0"/>
                <w:sz w:val="24"/>
                <w:szCs w:val="24"/>
              </w:rPr>
              <w:t>请求报文、</w:t>
            </w:r>
            <w:r>
              <w:rPr>
                <w:rFonts w:ascii="宋体" w:hAnsi="宋体" w:eastAsia="宋体" w:cs="宋体"/>
                <w:kern w:val="0"/>
                <w:sz w:val="24"/>
                <w:szCs w:val="24"/>
              </w:rPr>
              <w:t>DHCP</w:t>
            </w:r>
            <w:r>
              <w:rPr>
                <w:rFonts w:hint="eastAsia" w:ascii="宋体" w:hAnsi="宋体" w:eastAsia="宋体" w:cs="宋体"/>
                <w:kern w:val="0"/>
                <w:sz w:val="24"/>
                <w:szCs w:val="24"/>
              </w:rPr>
              <w:t>请求报文的数率，对超过限速阈值的报文进行丢弃处理，能够识别攻击行为，对有攻击行为的用户进行隔离。</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Calibri" w:hAnsi="Calibri" w:eastAsia="宋体" w:cs="宋体"/>
                <w:color w:val="000000"/>
                <w:kern w:val="0"/>
                <w:szCs w:val="21"/>
              </w:rPr>
            </w:pPr>
          </w:p>
        </w:tc>
      </w:tr>
      <w:tr>
        <w:tblPrEx>
          <w:tblCellMar>
            <w:top w:w="0" w:type="dxa"/>
            <w:left w:w="108" w:type="dxa"/>
            <w:bottom w:w="0" w:type="dxa"/>
            <w:right w:w="108" w:type="dxa"/>
          </w:tblCellMar>
        </w:tblPrEx>
        <w:trPr>
          <w:trHeight w:val="54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ascii="宋体" w:hAnsi="宋体" w:eastAsia="宋体" w:cs="宋体"/>
                <w:kern w:val="0"/>
                <w:sz w:val="24"/>
                <w:szCs w:val="24"/>
              </w:rPr>
              <w:t>12</w:t>
            </w:r>
            <w:r>
              <w:rPr>
                <w:rFonts w:hint="eastAsia" w:ascii="宋体" w:hAnsi="宋体" w:eastAsia="宋体" w:cs="宋体"/>
                <w:kern w:val="0"/>
                <w:sz w:val="24"/>
                <w:szCs w:val="24"/>
              </w:rPr>
              <w:t>、支持基于流的采样功能，对所选数据流包头中的源</w:t>
            </w:r>
            <w:r>
              <w:rPr>
                <w:rFonts w:ascii="宋体" w:hAnsi="宋体" w:eastAsia="宋体" w:cs="宋体"/>
                <w:kern w:val="0"/>
                <w:sz w:val="24"/>
                <w:szCs w:val="24"/>
              </w:rPr>
              <w:t>IP</w:t>
            </w:r>
            <w:r>
              <w:rPr>
                <w:rFonts w:hint="eastAsia" w:ascii="宋体" w:hAnsi="宋体" w:eastAsia="宋体" w:cs="宋体"/>
                <w:kern w:val="0"/>
                <w:sz w:val="24"/>
                <w:szCs w:val="24"/>
              </w:rPr>
              <w:t>地址、目的</w:t>
            </w:r>
            <w:r>
              <w:rPr>
                <w:rFonts w:ascii="宋体" w:hAnsi="宋体" w:eastAsia="宋体" w:cs="宋体"/>
                <w:kern w:val="0"/>
                <w:sz w:val="24"/>
                <w:szCs w:val="24"/>
              </w:rPr>
              <w:t>IP</w:t>
            </w:r>
            <w:r>
              <w:rPr>
                <w:rFonts w:hint="eastAsia" w:ascii="宋体" w:hAnsi="宋体" w:eastAsia="宋体" w:cs="宋体"/>
                <w:kern w:val="0"/>
                <w:sz w:val="24"/>
                <w:szCs w:val="24"/>
              </w:rPr>
              <w:t>地址、协议号、源端口号、包长等信息进行采样，并发送至网管主机。</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Calibri" w:hAnsi="Calibri" w:eastAsia="宋体" w:cs="宋体"/>
                <w:color w:val="000000"/>
                <w:kern w:val="0"/>
                <w:szCs w:val="21"/>
              </w:rPr>
            </w:pP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ascii="宋体" w:hAnsi="宋体" w:eastAsia="宋体" w:cs="宋体"/>
                <w:kern w:val="0"/>
                <w:sz w:val="24"/>
                <w:szCs w:val="24"/>
              </w:rPr>
              <w:t>13</w:t>
            </w:r>
            <w:r>
              <w:rPr>
                <w:rFonts w:hint="eastAsia" w:ascii="宋体" w:hAnsi="宋体" w:eastAsia="宋体" w:cs="宋体"/>
                <w:kern w:val="0"/>
                <w:sz w:val="24"/>
                <w:szCs w:val="24"/>
              </w:rPr>
              <w:t>、支持虚拟化功能，可将多台物理设备虚拟化为一台逻辑设备统一管理，并且链路故障的收敛时间达到毫秒级。</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Calibri" w:hAnsi="Calibri" w:eastAsia="宋体" w:cs="宋体"/>
                <w:color w:val="000000"/>
                <w:kern w:val="0"/>
                <w:szCs w:val="21"/>
              </w:rPr>
            </w:pP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2941" w:type="pct"/>
            <w:tcBorders>
              <w:top w:val="nil"/>
              <w:left w:val="nil"/>
              <w:bottom w:val="single" w:color="000000" w:sz="8" w:space="0"/>
              <w:right w:val="single" w:color="000000" w:sz="8" w:space="0"/>
            </w:tcBorders>
            <w:shd w:val="clear" w:color="auto" w:fill="auto"/>
            <w:vAlign w:val="center"/>
          </w:tcPr>
          <w:p>
            <w:pPr>
              <w:widowControl/>
              <w:rPr>
                <w:rFonts w:ascii="宋体" w:hAnsi="宋体" w:eastAsia="宋体" w:cs="宋体"/>
                <w:kern w:val="0"/>
                <w:sz w:val="24"/>
                <w:szCs w:val="24"/>
              </w:rPr>
            </w:pPr>
            <w:r>
              <w:rPr>
                <w:rFonts w:ascii="宋体" w:hAnsi="宋体" w:eastAsia="宋体" w:cs="宋体"/>
                <w:kern w:val="0"/>
                <w:sz w:val="24"/>
                <w:szCs w:val="24"/>
              </w:rPr>
              <w:t>14</w:t>
            </w:r>
            <w:r>
              <w:rPr>
                <w:rFonts w:hint="eastAsia" w:ascii="宋体" w:hAnsi="宋体" w:eastAsia="宋体" w:cs="宋体"/>
                <w:kern w:val="0"/>
                <w:sz w:val="24"/>
                <w:szCs w:val="24"/>
              </w:rPr>
              <w:t>、配置双电源。</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Calibri" w:hAnsi="Calibri" w:eastAsia="宋体" w:cs="宋体"/>
                <w:color w:val="000000"/>
                <w:kern w:val="0"/>
                <w:szCs w:val="21"/>
              </w:rPr>
            </w:pP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电源模块</w:t>
            </w:r>
          </w:p>
        </w:tc>
        <w:tc>
          <w:tcPr>
            <w:tcW w:w="2941" w:type="pct"/>
            <w:tcBorders>
              <w:top w:val="nil"/>
              <w:left w:val="nil"/>
              <w:bottom w:val="single" w:color="000000" w:sz="8" w:space="0"/>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电源模块</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18</w:t>
            </w:r>
          </w:p>
        </w:tc>
      </w:tr>
      <w:tr>
        <w:tblPrEx>
          <w:tblCellMar>
            <w:top w:w="0" w:type="dxa"/>
            <w:left w:w="108" w:type="dxa"/>
            <w:bottom w:w="0" w:type="dxa"/>
            <w:right w:w="108" w:type="dxa"/>
          </w:tblCellMar>
        </w:tblPrEx>
        <w:trPr>
          <w:trHeight w:val="285" w:hRule="atLeast"/>
        </w:trPr>
        <w:tc>
          <w:tcPr>
            <w:tcW w:w="339" w:type="pc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千兆单模光模块</w:t>
            </w:r>
          </w:p>
        </w:tc>
        <w:tc>
          <w:tcPr>
            <w:tcW w:w="2941" w:type="pct"/>
            <w:tcBorders>
              <w:top w:val="nil"/>
              <w:left w:val="nil"/>
              <w:bottom w:val="single" w:color="000000" w:sz="8" w:space="0"/>
              <w:right w:val="single" w:color="000000" w:sz="8" w:space="0"/>
            </w:tcBorders>
            <w:shd w:val="clear" w:color="auto" w:fill="auto"/>
            <w:vAlign w:val="center"/>
          </w:tcPr>
          <w:p>
            <w:pPr>
              <w:widowControl/>
              <w:rPr>
                <w:rFonts w:ascii="宋体" w:hAnsi="宋体" w:eastAsia="宋体" w:cs="宋体"/>
                <w:kern w:val="0"/>
                <w:sz w:val="24"/>
                <w:szCs w:val="24"/>
              </w:rPr>
            </w:pPr>
            <w:r>
              <w:rPr>
                <w:rFonts w:ascii="宋体" w:hAnsi="宋体" w:eastAsia="宋体" w:cs="宋体"/>
                <w:kern w:val="0"/>
                <w:sz w:val="24"/>
                <w:szCs w:val="24"/>
              </w:rPr>
              <w:t>1000BASE-LX mini GBIC</w:t>
            </w:r>
            <w:r>
              <w:rPr>
                <w:rFonts w:hint="eastAsia" w:ascii="宋体" w:hAnsi="宋体" w:eastAsia="宋体" w:cs="宋体"/>
                <w:kern w:val="0"/>
                <w:sz w:val="24"/>
                <w:szCs w:val="24"/>
              </w:rPr>
              <w:t>转换模块（</w:t>
            </w:r>
            <w:r>
              <w:rPr>
                <w:rFonts w:ascii="宋体" w:hAnsi="宋体" w:eastAsia="宋体" w:cs="宋体"/>
                <w:kern w:val="0"/>
                <w:sz w:val="24"/>
                <w:szCs w:val="24"/>
              </w:rPr>
              <w:t>1310nm</w:t>
            </w:r>
            <w:r>
              <w:rPr>
                <w:rFonts w:hint="eastAsia" w:ascii="宋体" w:hAnsi="宋体" w:eastAsia="宋体" w:cs="宋体"/>
                <w:kern w:val="0"/>
                <w:sz w:val="24"/>
                <w:szCs w:val="24"/>
              </w:rPr>
              <w:t>），</w:t>
            </w:r>
            <w:r>
              <w:rPr>
                <w:rFonts w:ascii="宋体" w:hAnsi="宋体" w:eastAsia="宋体" w:cs="宋体"/>
                <w:kern w:val="0"/>
                <w:sz w:val="24"/>
                <w:szCs w:val="24"/>
              </w:rPr>
              <w:t>10km</w:t>
            </w:r>
            <w:r>
              <w:rPr>
                <w:rFonts w:hint="eastAsia" w:ascii="宋体" w:hAnsi="宋体" w:eastAsia="宋体" w:cs="宋体"/>
                <w:kern w:val="0"/>
                <w:sz w:val="24"/>
                <w:szCs w:val="24"/>
              </w:rPr>
              <w:t>，单模</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101</w:t>
            </w:r>
          </w:p>
        </w:tc>
      </w:tr>
      <w:tr>
        <w:tblPrEx>
          <w:tblCellMar>
            <w:top w:w="0" w:type="dxa"/>
            <w:left w:w="108" w:type="dxa"/>
            <w:bottom w:w="0" w:type="dxa"/>
            <w:right w:w="108" w:type="dxa"/>
          </w:tblCellMar>
        </w:tblPrEx>
        <w:trPr>
          <w:trHeight w:val="285" w:hRule="atLeast"/>
        </w:trPr>
        <w:tc>
          <w:tcPr>
            <w:tcW w:w="339" w:type="pc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万兆多模光模块</w:t>
            </w:r>
          </w:p>
        </w:tc>
        <w:tc>
          <w:tcPr>
            <w:tcW w:w="2941" w:type="pct"/>
            <w:tcBorders>
              <w:top w:val="nil"/>
              <w:left w:val="nil"/>
              <w:bottom w:val="single" w:color="000000" w:sz="8" w:space="0"/>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万兆</w:t>
            </w:r>
            <w:r>
              <w:rPr>
                <w:rFonts w:ascii="宋体" w:hAnsi="宋体" w:eastAsia="宋体" w:cs="宋体"/>
                <w:kern w:val="0"/>
                <w:sz w:val="24"/>
                <w:szCs w:val="24"/>
              </w:rPr>
              <w:t>LC</w:t>
            </w:r>
            <w:r>
              <w:rPr>
                <w:rFonts w:hint="eastAsia" w:ascii="宋体" w:hAnsi="宋体" w:eastAsia="宋体" w:cs="宋体"/>
                <w:kern w:val="0"/>
                <w:sz w:val="24"/>
                <w:szCs w:val="24"/>
              </w:rPr>
              <w:t>接口模块（</w:t>
            </w:r>
            <w:r>
              <w:rPr>
                <w:rFonts w:ascii="宋体" w:hAnsi="宋体" w:eastAsia="宋体" w:cs="宋体"/>
                <w:kern w:val="0"/>
                <w:sz w:val="24"/>
                <w:szCs w:val="24"/>
              </w:rPr>
              <w:t>850nm</w:t>
            </w:r>
            <w:r>
              <w:rPr>
                <w:rFonts w:hint="eastAsia" w:ascii="宋体" w:hAnsi="宋体" w:eastAsia="宋体" w:cs="宋体"/>
                <w:kern w:val="0"/>
                <w:sz w:val="24"/>
                <w:szCs w:val="24"/>
              </w:rPr>
              <w:t>），</w:t>
            </w:r>
            <w:r>
              <w:rPr>
                <w:rFonts w:ascii="宋体" w:hAnsi="宋体" w:eastAsia="宋体" w:cs="宋体"/>
                <w:kern w:val="0"/>
                <w:sz w:val="24"/>
                <w:szCs w:val="24"/>
              </w:rPr>
              <w:t>300</w:t>
            </w:r>
            <w:r>
              <w:rPr>
                <w:rFonts w:hint="eastAsia" w:ascii="宋体" w:hAnsi="宋体" w:eastAsia="宋体" w:cs="宋体"/>
                <w:kern w:val="0"/>
                <w:sz w:val="24"/>
                <w:szCs w:val="24"/>
              </w:rPr>
              <w:t>米，多模，适用于</w:t>
            </w:r>
            <w:r>
              <w:rPr>
                <w:rFonts w:ascii="宋体" w:hAnsi="宋体" w:eastAsia="宋体" w:cs="宋体"/>
                <w:kern w:val="0"/>
                <w:sz w:val="24"/>
                <w:szCs w:val="24"/>
              </w:rPr>
              <w:t>SFP+</w:t>
            </w:r>
            <w:r>
              <w:rPr>
                <w:rFonts w:hint="eastAsia" w:ascii="宋体" w:hAnsi="宋体" w:eastAsia="宋体" w:cs="宋体"/>
                <w:kern w:val="0"/>
                <w:sz w:val="24"/>
                <w:szCs w:val="24"/>
              </w:rPr>
              <w:t>接口</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18</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12U机柜</w:t>
            </w:r>
          </w:p>
        </w:tc>
        <w:tc>
          <w:tcPr>
            <w:tcW w:w="2941" w:type="pct"/>
            <w:tcBorders>
              <w:top w:val="nil"/>
              <w:left w:val="nil"/>
              <w:bottom w:val="single" w:color="000000" w:sz="8" w:space="0"/>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国标 12U机柜</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r>
      <w:tr>
        <w:tblPrEx>
          <w:tblCellMar>
            <w:top w:w="0" w:type="dxa"/>
            <w:left w:w="108" w:type="dxa"/>
            <w:bottom w:w="0" w:type="dxa"/>
            <w:right w:w="108" w:type="dxa"/>
          </w:tblCellMar>
        </w:tblPrEx>
        <w:trPr>
          <w:trHeight w:val="510" w:hRule="atLeast"/>
        </w:trPr>
        <w:tc>
          <w:tcPr>
            <w:tcW w:w="339" w:type="pc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安全防范分系统调试</w:t>
            </w:r>
          </w:p>
        </w:tc>
        <w:tc>
          <w:tcPr>
            <w:tcW w:w="2941" w:type="pct"/>
            <w:tcBorders>
              <w:top w:val="nil"/>
              <w:left w:val="nil"/>
              <w:bottom w:val="single" w:color="000000" w:sz="8" w:space="0"/>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(1)安全防范分系统调试</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系统</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三</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智能化监控中心</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46"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2" w:type="pct"/>
            <w:tcBorders>
              <w:top w:val="nil"/>
              <w:left w:val="nil"/>
              <w:bottom w:val="single" w:color="000000"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trPr>
        <w:tc>
          <w:tcPr>
            <w:tcW w:w="339" w:type="pct"/>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22"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48盘位磁盘阵列</w:t>
            </w: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 19英寸标准机箱，2+1冗余金牌电源，可接入硬盘≥48块；</w:t>
            </w:r>
          </w:p>
        </w:tc>
        <w:tc>
          <w:tcPr>
            <w:tcW w:w="44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552" w:type="pct"/>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 配置≥64位多核处理器，≥4GB内存，内存支持扩展到≥64GB,≥2个千兆网口，≥1个SAS扩展柜接口；</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3) 可接入2T/3T/4T/6T/8T/10T磁盘，支持磁盘交错启动和漫游，并支持在线热插拔；</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 支持RAID0、1、5、6、10、50，支持全局、局部等多种热备选择，支持坏盘自动重构；</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5) 支持视音频、图片直接写入，支持视频高速预览、回放、下载，应具备账户密码重置功能，即用户必须通过预留号码的手机中接收到的安全动态码来验证用户身份，验证通过后才能允许用户执行账户密码重置操作；</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6) 支持存储空间虚拟化管理。支持多存储设备容量整合，形成录像池；可根据用户业务分配通用、文件、视频、图片等类型存储空间；支持在线弹性伸缩录像池的容量空间，不影响业务继续读写；</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7) 能够直接接入支持GB/T28181-2011、GB/T28181-2016、ONVIF、Ehome、RTSP、PSIA 标准的前端设备并存储录像文件</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8) 通过客户端软件添加及删除手机号，启用短信网关报警功能后，可向添加的手机号码发送电源异常、系统卡容量不足、存储空间异常、自动修复失败、私有卷IO异常、无可用逻辑卷等报警信息，报警种类可设；</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9) 可根据事件名称查询所有相关联的不同前端或时间的录像段并进行回放和下载；</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10) 可对指定的录像段或指定事件的1个或多个前端的不同时间段的录像段添加标签，并自动备份到存档卷中，使之不会被覆盖删除；</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11) 支持当磁盘处于非工作状态下，进入休眠状态，进行读写操作时可被唤醒，增加磁盘寿命；支持智能风扇调速，支持智能CPU调频等功能；</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12) 工作功耗≤800W，工作温度5℃～35℃，储藏温度-20℃～70℃。</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企业级8T硬盘</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8000G/7200RPM/128M/SATA3.0</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块</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160</w:t>
            </w:r>
          </w:p>
        </w:tc>
      </w:tr>
      <w:tr>
        <w:tblPrEx>
          <w:tblCellMar>
            <w:top w:w="0" w:type="dxa"/>
            <w:left w:w="108" w:type="dxa"/>
            <w:bottom w:w="0" w:type="dxa"/>
            <w:right w:w="108" w:type="dxa"/>
          </w:tblCellMar>
        </w:tblPrEx>
        <w:trPr>
          <w:trHeight w:val="270" w:hRule="atLeast"/>
        </w:trPr>
        <w:tc>
          <w:tcPr>
            <w:tcW w:w="339" w:type="pct"/>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22"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视频管理云服务器（视频监控工作站）</w:t>
            </w: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2U单路标准机架式服务器</w:t>
            </w:r>
          </w:p>
        </w:tc>
        <w:tc>
          <w:tcPr>
            <w:tcW w:w="44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c>
          <w:tcPr>
            <w:tcW w:w="552" w:type="pct"/>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CPU：32核处理器；</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内存：64G；</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系统盘：80G SAS</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数据盘：500G SAS</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操作系统：Windows或Linux</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共享带宽：5M</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LAN云专线:100M</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22"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综合管理平台软件</w:t>
            </w: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要求最大支持用户10000个，最大支持并发登陆500个、支持用户权限管理</w:t>
            </w:r>
          </w:p>
        </w:tc>
        <w:tc>
          <w:tcPr>
            <w:tcW w:w="44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c>
          <w:tcPr>
            <w:tcW w:w="552" w:type="pct"/>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2)支持B/S、C/S客户端，以及移动端应用；</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3)支持二次开发，提供平台SDK开发包、webservice、REST接口；</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4)要求支持用户密码有效时间段进行设置管理，支持用户IP绑定，指定IP地址用户才能登陆平台；</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5)支持LINUX、Windows操作系统；</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6)系统要求根据项目规模和应用场景，采用分布式、负载均衡等技术，支持多级架构来进行系统平台自身规模的扩展，支持流媒体集群等；</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7)系统要求支持软授权方式，可以部署在服务器或虚拟机上；</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8)系统要求支持BS、CS客户端以及IOS、Android移动端应用；</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9)系统要求支持校时功能，支持对设备和平台服务校时，保证时间一致；</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10)要求支持多网域访问、求支持AD域；</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11)支持以中心管理服务为核心的网络拓扑结构，支持对系统中的分组、服务器、组件等统计概览、查看；</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12)支持多色彩（红、橙、黄）展示运行告警状态，支持告警统计、概览、处理，支持告警记录查看、查询；</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13)支持≥16路放像、≥16路同步放像功能，支持录像单帧播放、多倍速放像、录像倒放等功能；支持单路录像分多时段回放；支持录像点播按秒定位；支持录像下载按秒定位，支持录像批量下载，支持下载录像为MP4格式。</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22"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流媒体服务器</w:t>
            </w: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1.标配一个Intel Xeon E-2224 (4-Core, 3.4 GHz, 71W)，最大一个;</w:t>
            </w:r>
          </w:p>
        </w:tc>
        <w:tc>
          <w:tcPr>
            <w:tcW w:w="44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552" w:type="pct"/>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2.标配16GB (1x16GB UDIMM, 2666 MHz)非缓冲内存, 最大支持4个DDR4内存插槽;</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4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3.标配1个 SATA阵列控制器, 支持RAID 0/1/5/10; 主板远程管理芯片; 2个 PCIe 3.0插槽; 标配2个冷插拔 3.5英寸大尺寸硬盘槽位,最大2个;</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4.标配1块 1TB SATA 6G Mid 7.2K LFF (3.5in)硬盘; 可选9.5mm光驱;</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5.标配双端口千兆网络适配器;</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4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6.标配1个≥290W电源,非热插拔,非冗余; 标配3个非热插拔，非冗余风扇; 5个USB接口; 标配2个PCIe 3.0插槽;标配导轨; 1U高度;</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7.3年5*9,NBD</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22"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客流分析服务器</w:t>
            </w: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 支持≥双核四线程处理器，≥8GB内存，≥512GB SSD并带PLP功能(掉电保护)。</w:t>
            </w:r>
          </w:p>
        </w:tc>
        <w:tc>
          <w:tcPr>
            <w:tcW w:w="44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552" w:type="pct"/>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tblPrEx>
          <w:tblCellMar>
            <w:top w:w="0" w:type="dxa"/>
            <w:left w:w="108" w:type="dxa"/>
            <w:bottom w:w="0" w:type="dxa"/>
            <w:right w:w="108" w:type="dxa"/>
          </w:tblCellMar>
        </w:tblPrEx>
        <w:trPr>
          <w:trHeight w:val="51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 支持≥6个3.0USB接口，其中≥2个千兆网口，≥1个HDMI输出，≥1个DP输出，≥2个RS232接口，≥1个2.5寸硬盘接口，≥1个Line out，≥1个Mic in。支持≥2路4K视频同时输出。支持GPU解码并自动切换预览码率。</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3) 客户端支持在线检测版本和在线升级。支持接入编码设备、管理机、门口机、室内机、报警主机、门禁控制器。</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 支持≥2个屏幕同时实时预览，每个屏幕最大≥64分屏，支持自定义分屏，支持≥16路同步回放；支持同时展示多个业务界面。</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5) 预览画面支持监控点状态、语音对讲、广播、开关声音、云台与镜头控制、抓图等。</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6) 支持接入双门客流统计相机，展示设备上报的进出人数或区域内多台设备总进出人数，并统计区域内实时人数；支持区域离岗检测，区域人数上限、下限、人数不符的阙值设置与报警联动；支持区域人员密度信息展示。</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7) 支持智能应用，可展示人脸及混合目标检测结果，包含人脸比对报警，高频人员报警，人体报警，车辆报警结果等。</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8) 支持接收所接入设备上传的报警事件，报警类型包含移动侦测，区域入侵，越界侦测，陌生人报警，车辆黑白名单报警。</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9) 支持远程回放，包含但不限于智能侦测回放，行为分析回放，移动侦测回放。</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10) 支持人员管理、访问控制、状态监控、考勤管理、电子地图、事件中心。</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11) 客户端支持多用户组，不同用户组可以分别设置不同的功能权限，包括但不限于监控点配置、用户管理、校时、客户端参数配置、分组管理、抓图、云台控制、日志搜索、文件备份、可视对讲、预览、录像、备份。</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12) 客户端支持系统日志管理，日志内容包含操作日志、系统日志。</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722"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管理电脑</w:t>
            </w: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1、CPU：≥Inter第九代CPU I5-9500；</w:t>
            </w:r>
          </w:p>
        </w:tc>
        <w:tc>
          <w:tcPr>
            <w:tcW w:w="44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552" w:type="pct"/>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2、内存：≥4GB DDR4 2666；</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3、硬盘：≥1TB硬盘；</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4、主板：≥Intel 300系列芯片组；</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5、光驱：DVDRW；</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6、键鼠：USB标准商务键盘鼠标；</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7、接口：USB 端口数量：≥8个(其中USB 3.1：≥4个)、VGA接口数量：≥1个、HDMI或者DP接口数量：≥1个、RJ-45接口数量：≥1个、支持CTIA耳麦的通用音频插孔：≥1个；</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8、扩展槽：≥ 1 个 PCI插槽； ≥1个PCIe x1 插槽；≥1 个PCIe x16 插槽；≥2 个   M.2 插槽；</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9、电源：≥310W；</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10、机箱：≥15L，原厂机箱内置音箱，前置LED故障侦错系统告警指示灯，可通过LED及内部蜂鸣器组成故障告警提示，可支持CPU过热防护、内存故障、显示屏故障、电源供应故障等；</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11、系统：windows 10 home 64位；</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12、显示器：与主机同品 牌，＞20”宽屏16:9 LED背光液晶显示器, 1个VGA接口，响应速度≤5ms,屏幕分辨率≥1920x1080；</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13、保修：三年保修及上门。</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722"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视频综合平台</w:t>
            </w: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 5U机箱；≥10个业务槽位；</w:t>
            </w:r>
          </w:p>
        </w:tc>
        <w:tc>
          <w:tcPr>
            <w:tcW w:w="44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552" w:type="pct"/>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 配置交换板、单主控板、双电源；</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3) 配置≥28路输出，≥4路输入；</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 框架式结构，采用无源背板，≥10个业务板卡插槽，系统稳定可靠；</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5) ≥4个10M/100M/1000M自适应以太网口，内置模块化冗余双电源，支持智能风扇自动调温；</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6) 支持网络、数字视频信号的接入和切换输出，支持DVI视频信号接入编码；</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7) 支持大屏拼接， 支持开窗和漫游功能，支持≥256个窗口,单块解码板支持≥16个1080P的开窗；</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8) 支持≥64个预设场景，用户可以自定义每个场景电视墙布局，支持场景预案；</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9) 支持解码H.265、H.264、MPEG4、MJPEG等主流的编码格式，支持PS、TS、ES、RTP、HIK等主流封装格式，要求设备支持字符叠加功能，最大支持20条，并可在任意位置叠加；支持多种自定义OSD样式，并且能够修改保存。</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10) 支持解码中断时保留最后一帧的功能，解码板不同输出口以及跨解码板的输出口之间输出色彩无色差； </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11) 产品支持接入分辨率为8640×3840、4000×3000、3296×2472、2592×2048、2048×1536、1920×1080、1600×1200、1280×720、704×576的视频。</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76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12) 支持1024x768、1280x720、1280x1024、1280x800、1280x960、1366x768、1440x900、1400x1050、1680x1050、1920x1080、1600x1200、1920x1200、3840x2160、4096x2160、7680x1080、5760x1080、3840x1080、1920x2160、1920x3240、1920x4320等输出分辨率信号； </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13) 信号源采集后经过高速背板总线到输出显示所用平均时间应≤35ms，图像切换时间≤20ms； </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14) 支持热成像摄像机的解码以及热成像智能信息的显示功能，配合全景摄像机可实现全景画面和特写六画面显示功能，特写画面的分辨率不低于1280x720，支持手动区域特写，可以对指定区域内的视频进行显示功能； </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15) 支持BMP、JPEG等格式的底图上传，支持底图轮巡，底图数量及轮巡时间可设置；并支持在底图上拼接、漫游、开窗显示。</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722"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55寸监视器</w:t>
            </w: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1) LCD液晶显示单元； </w:t>
            </w:r>
          </w:p>
        </w:tc>
        <w:tc>
          <w:tcPr>
            <w:tcW w:w="44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552" w:type="pct"/>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28</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 尺寸：55英寸；</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3) 分辨率：1920 × 1080@60 Hz（向下兼容）；</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 视角：178°(水平)/ 178°(垂直)；</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5) 响应时间：8 ms (G to G)；</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6) 对比度：1200:1；</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7) 亮度：500cd/㎡；</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8) 物理拼缝：3.5mm；</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9) 输入接口：≥1个HDMI，≥1个DVI，≥1个VGA，≥1个CVBS，≥1个USB；</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10) 液晶显示单元具有色坐标一致性，根据CIE1931标准色度系统，液晶显示单元色坐标误差在±0.01以内；</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11) 液晶显示单元的风扇具备良好的散热效果，风扇散热性能≥30%；</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12) 液晶显示单元客户端具备能力集收集、设备工作状态展示功能；</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13) 输出接口：≥2个CVBS。</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339" w:type="pct"/>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722"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控制键盘</w:t>
            </w: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 四维摇杆触控网络键盘，Android操作系统，具有≥1个100M/1000M自适应以太网口、≥2个USB接口、≥1个HDMI接口、≥1个DVI接口、≥1对3.5mm音频输入输出接口，支持WiFi、支持POE供电；</w:t>
            </w:r>
          </w:p>
        </w:tc>
        <w:tc>
          <w:tcPr>
            <w:tcW w:w="44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552" w:type="pct"/>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 支持在触摸屏幕上预览前端图像，支持≥4路1080P视频解码显示，最大≥16画面分割显示；</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3) 支持上下、左右、变倍和抓图四维控制功能，支持接入DVR、DVS、NVR、网络摄像机、球机设备；</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 支持通过摇杆或触控屏实现云台设备控制功能，支持预置位、自动巡航、模式路径、光圈调节、变焦、雨刷、灯光等功能；</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5) 屏幕尺寸＞10英寸，分辨率≥1280*720，支持DVI和HDMI接口外接显示设备实现图像预览；</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6) 屏幕区和摇杆区采用可拆分结构，摇杆和触控屏可分离使用；</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7) 支持添加设备数量≥8000，≥两级用户权限，支持≥32个用户；</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8) 支持切换前端输入通道或输入组到解码器、视频综合平台等设备，支持画面分割、场景切换、轮巡显示、开/关显示窗口、窗口漫游、放到/缩小等功能；</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9) 支持在键盘显示屏上显示电视墙当前整体布局；</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10) 工作温度10℃--＋55℃，功耗≤15W。</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339" w:type="pc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操作台</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3联，每联尺寸600*750*930mm，优质冷轧钢板</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12</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操作台</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5联，每联尺寸600*750*930mm，优质冷轧钢板</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tblPrEx>
          <w:tblCellMar>
            <w:top w:w="0" w:type="dxa"/>
            <w:left w:w="108" w:type="dxa"/>
            <w:bottom w:w="0" w:type="dxa"/>
            <w:right w:w="108" w:type="dxa"/>
          </w:tblCellMar>
        </w:tblPrEx>
        <w:trPr>
          <w:trHeight w:val="270" w:hRule="atLeast"/>
        </w:trPr>
        <w:tc>
          <w:tcPr>
            <w:tcW w:w="339" w:type="pct"/>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13</w:t>
            </w:r>
          </w:p>
        </w:tc>
        <w:tc>
          <w:tcPr>
            <w:tcW w:w="722"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监视墙</w:t>
            </w: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 采用型钢材料定制，外层涂有绝缘喷塑材料，涂层表面平滑、喷涂均匀、色调一致，颜色为黑色；</w:t>
            </w:r>
          </w:p>
        </w:tc>
        <w:tc>
          <w:tcPr>
            <w:tcW w:w="44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c>
          <w:tcPr>
            <w:tcW w:w="552" w:type="pct"/>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 积木式底座可以承受至少6层拼接单元承重；</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3. 积木式箱体单元间有紧固连接装置，确保显示单元箱体、底座连接牢固；</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 底座和箱体单元均可水平及垂直方向调节，屏幕也可进出调节，显示单元安装操作简单，可准确定位；</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5. 积木式箱体单元每个单元及底座均设有布线暗槽，整个系统布线整齐，有明确标示，无外露线缆；</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339" w:type="pct"/>
            <w:vMerge w:val="restart"/>
            <w:tcBorders>
              <w:top w:val="nil"/>
              <w:left w:val="single" w:color="auto" w:sz="8" w:space="0"/>
              <w:bottom w:val="nil"/>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14</w:t>
            </w:r>
          </w:p>
        </w:tc>
        <w:tc>
          <w:tcPr>
            <w:tcW w:w="722" w:type="pct"/>
            <w:vMerge w:val="restart"/>
            <w:tcBorders>
              <w:top w:val="nil"/>
              <w:left w:val="single" w:color="000000" w:sz="8" w:space="0"/>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核心交换机</w:t>
            </w: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ascii="宋体" w:hAnsi="宋体" w:eastAsia="宋体" w:cs="宋体"/>
                <w:kern w:val="0"/>
                <w:sz w:val="24"/>
                <w:szCs w:val="24"/>
              </w:rPr>
              <w:t xml:space="preserve">1 </w:t>
            </w:r>
            <w:r>
              <w:rPr>
                <w:rFonts w:hint="eastAsia" w:ascii="宋体" w:hAnsi="宋体" w:eastAsia="宋体" w:cs="宋体"/>
                <w:kern w:val="0"/>
                <w:sz w:val="24"/>
                <w:szCs w:val="24"/>
              </w:rPr>
              <w:t>整机主控引擎插槽≥</w:t>
            </w:r>
            <w:r>
              <w:rPr>
                <w:rFonts w:ascii="宋体" w:hAnsi="宋体" w:eastAsia="宋体" w:cs="宋体"/>
                <w:kern w:val="0"/>
                <w:sz w:val="24"/>
                <w:szCs w:val="24"/>
              </w:rPr>
              <w:t>2</w:t>
            </w:r>
            <w:r>
              <w:rPr>
                <w:rFonts w:hint="eastAsia" w:ascii="宋体" w:hAnsi="宋体" w:eastAsia="宋体" w:cs="宋体"/>
                <w:kern w:val="0"/>
                <w:sz w:val="24"/>
                <w:szCs w:val="24"/>
              </w:rPr>
              <w:t>个，业务插槽≥</w:t>
            </w:r>
            <w:r>
              <w:rPr>
                <w:rFonts w:ascii="宋体" w:hAnsi="宋体" w:eastAsia="宋体" w:cs="宋体"/>
                <w:kern w:val="0"/>
                <w:sz w:val="24"/>
                <w:szCs w:val="24"/>
              </w:rPr>
              <w:t>3</w:t>
            </w:r>
            <w:r>
              <w:rPr>
                <w:rFonts w:hint="eastAsia" w:ascii="宋体" w:hAnsi="宋体" w:eastAsia="宋体" w:cs="宋体"/>
                <w:kern w:val="0"/>
                <w:sz w:val="24"/>
                <w:szCs w:val="24"/>
              </w:rPr>
              <w:t>个</w:t>
            </w:r>
          </w:p>
        </w:tc>
        <w:tc>
          <w:tcPr>
            <w:tcW w:w="446" w:type="pct"/>
            <w:vMerge w:val="restart"/>
            <w:tcBorders>
              <w:top w:val="nil"/>
              <w:left w:val="single" w:color="000000" w:sz="8" w:space="0"/>
              <w:bottom w:val="nil"/>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552" w:type="pct"/>
            <w:vMerge w:val="restart"/>
            <w:tcBorders>
              <w:top w:val="nil"/>
              <w:left w:val="single" w:color="000000" w:sz="8" w:space="0"/>
              <w:bottom w:val="nil"/>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ascii="宋体" w:hAnsi="宋体" w:eastAsia="宋体" w:cs="宋体"/>
                <w:kern w:val="0"/>
                <w:sz w:val="24"/>
                <w:szCs w:val="24"/>
              </w:rPr>
              <w:t xml:space="preserve">2 </w:t>
            </w:r>
            <w:r>
              <w:rPr>
                <w:rFonts w:hint="eastAsia" w:ascii="宋体" w:hAnsi="宋体" w:eastAsia="宋体" w:cs="宋体"/>
                <w:kern w:val="0"/>
                <w:sz w:val="24"/>
                <w:szCs w:val="24"/>
              </w:rPr>
              <w:t>交换容量≥</w:t>
            </w:r>
            <w:r>
              <w:rPr>
                <w:rFonts w:ascii="宋体" w:hAnsi="宋体" w:eastAsia="宋体" w:cs="宋体"/>
                <w:kern w:val="0"/>
                <w:sz w:val="24"/>
                <w:szCs w:val="24"/>
              </w:rPr>
              <w:t>160T</w:t>
            </w:r>
            <w:r>
              <w:rPr>
                <w:rFonts w:hint="eastAsia" w:ascii="宋体" w:hAnsi="宋体" w:eastAsia="宋体" w:cs="宋体"/>
                <w:kern w:val="0"/>
                <w:sz w:val="24"/>
                <w:szCs w:val="24"/>
              </w:rPr>
              <w:t>，包转发性能≥</w:t>
            </w:r>
            <w:r>
              <w:rPr>
                <w:rFonts w:ascii="宋体" w:hAnsi="宋体" w:eastAsia="宋体" w:cs="宋体"/>
                <w:kern w:val="0"/>
                <w:sz w:val="24"/>
                <w:szCs w:val="24"/>
              </w:rPr>
              <w:t>36000Mpps</w:t>
            </w:r>
          </w:p>
        </w:tc>
        <w:tc>
          <w:tcPr>
            <w:tcW w:w="446" w:type="pct"/>
            <w:vMerge w:val="continue"/>
            <w:tcBorders>
              <w:top w:val="nil"/>
              <w:left w:val="single" w:color="000000"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nil"/>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ascii="宋体" w:hAnsi="宋体" w:eastAsia="宋体" w:cs="宋体"/>
                <w:kern w:val="0"/>
                <w:sz w:val="24"/>
                <w:szCs w:val="24"/>
              </w:rPr>
              <w:t xml:space="preserve">3 </w:t>
            </w:r>
            <w:r>
              <w:rPr>
                <w:rFonts w:hint="eastAsia" w:ascii="宋体" w:hAnsi="宋体" w:eastAsia="宋体" w:cs="宋体"/>
                <w:kern w:val="0"/>
                <w:sz w:val="24"/>
                <w:szCs w:val="24"/>
              </w:rPr>
              <w:t>整机</w:t>
            </w:r>
            <w:r>
              <w:rPr>
                <w:rFonts w:ascii="宋体" w:hAnsi="宋体" w:eastAsia="宋体" w:cs="宋体"/>
                <w:kern w:val="0"/>
                <w:sz w:val="24"/>
                <w:szCs w:val="24"/>
              </w:rPr>
              <w:t>ARP</w:t>
            </w:r>
            <w:r>
              <w:rPr>
                <w:rFonts w:hint="eastAsia" w:ascii="宋体" w:hAnsi="宋体" w:eastAsia="宋体" w:cs="宋体"/>
                <w:kern w:val="0"/>
                <w:sz w:val="24"/>
                <w:szCs w:val="24"/>
              </w:rPr>
              <w:t>表项≥</w:t>
            </w:r>
            <w:r>
              <w:rPr>
                <w:rFonts w:ascii="宋体" w:hAnsi="宋体" w:eastAsia="宋体" w:cs="宋体"/>
                <w:kern w:val="0"/>
                <w:sz w:val="24"/>
                <w:szCs w:val="24"/>
              </w:rPr>
              <w:t>20K</w:t>
            </w:r>
          </w:p>
        </w:tc>
        <w:tc>
          <w:tcPr>
            <w:tcW w:w="446" w:type="pct"/>
            <w:vMerge w:val="continue"/>
            <w:tcBorders>
              <w:top w:val="nil"/>
              <w:left w:val="single" w:color="000000"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nil"/>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ascii="宋体" w:hAnsi="宋体" w:eastAsia="宋体" w:cs="宋体"/>
                <w:kern w:val="0"/>
                <w:sz w:val="24"/>
                <w:szCs w:val="24"/>
              </w:rPr>
              <w:t xml:space="preserve">4 </w:t>
            </w:r>
            <w:r>
              <w:rPr>
                <w:rFonts w:hint="eastAsia" w:ascii="宋体" w:hAnsi="宋体" w:eastAsia="宋体" w:cs="宋体"/>
                <w:kern w:val="0"/>
                <w:sz w:val="24"/>
                <w:szCs w:val="24"/>
              </w:rPr>
              <w:t>要求整机</w:t>
            </w:r>
            <w:r>
              <w:rPr>
                <w:rFonts w:ascii="宋体" w:hAnsi="宋体" w:eastAsia="宋体" w:cs="宋体"/>
                <w:kern w:val="0"/>
                <w:sz w:val="24"/>
                <w:szCs w:val="24"/>
              </w:rPr>
              <w:t>MAC</w:t>
            </w:r>
            <w:r>
              <w:rPr>
                <w:rFonts w:hint="eastAsia" w:ascii="宋体" w:hAnsi="宋体" w:eastAsia="宋体" w:cs="宋体"/>
                <w:kern w:val="0"/>
                <w:sz w:val="24"/>
                <w:szCs w:val="24"/>
              </w:rPr>
              <w:t>表项≥</w:t>
            </w:r>
            <w:r>
              <w:rPr>
                <w:rFonts w:ascii="宋体" w:hAnsi="宋体" w:eastAsia="宋体" w:cs="宋体"/>
                <w:kern w:val="0"/>
                <w:sz w:val="24"/>
                <w:szCs w:val="24"/>
              </w:rPr>
              <w:t>64K</w:t>
            </w:r>
            <w:r>
              <w:rPr>
                <w:rFonts w:hint="eastAsia" w:ascii="宋体" w:hAnsi="宋体" w:eastAsia="宋体" w:cs="宋体"/>
                <w:kern w:val="0"/>
                <w:sz w:val="24"/>
                <w:szCs w:val="24"/>
              </w:rPr>
              <w:t>，实供板卡必须满足此项要求</w:t>
            </w:r>
          </w:p>
        </w:tc>
        <w:tc>
          <w:tcPr>
            <w:tcW w:w="446" w:type="pct"/>
            <w:vMerge w:val="continue"/>
            <w:tcBorders>
              <w:top w:val="nil"/>
              <w:left w:val="single" w:color="000000"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nil"/>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40" w:hRule="atLeast"/>
        </w:trPr>
        <w:tc>
          <w:tcPr>
            <w:tcW w:w="339" w:type="pct"/>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ascii="宋体" w:hAnsi="宋体" w:eastAsia="宋体" w:cs="宋体"/>
                <w:kern w:val="0"/>
                <w:sz w:val="24"/>
                <w:szCs w:val="24"/>
              </w:rPr>
              <w:t xml:space="preserve">5 </w:t>
            </w:r>
            <w:r>
              <w:rPr>
                <w:rFonts w:hint="eastAsia" w:ascii="宋体" w:hAnsi="宋体" w:eastAsia="宋体" w:cs="宋体"/>
                <w:kern w:val="0"/>
                <w:sz w:val="24"/>
                <w:szCs w:val="24"/>
              </w:rPr>
              <w:t>要求所投产品支持</w:t>
            </w:r>
            <w:r>
              <w:rPr>
                <w:rFonts w:ascii="宋体" w:hAnsi="宋体" w:eastAsia="宋体" w:cs="宋体"/>
                <w:kern w:val="0"/>
                <w:sz w:val="24"/>
                <w:szCs w:val="24"/>
              </w:rPr>
              <w:t>sFlow</w:t>
            </w:r>
            <w:r>
              <w:rPr>
                <w:rFonts w:hint="eastAsia" w:ascii="宋体" w:hAnsi="宋体" w:eastAsia="宋体" w:cs="宋体"/>
                <w:kern w:val="0"/>
                <w:sz w:val="24"/>
                <w:szCs w:val="24"/>
              </w:rPr>
              <w:t>网络监测技术，可提供完整的第二层到第四层信息，可以适应超大网络流量环境下的流量分析，让用户详细、实时地分析网络传输流的性能、趋势和存在的问题。</w:t>
            </w:r>
          </w:p>
        </w:tc>
        <w:tc>
          <w:tcPr>
            <w:tcW w:w="446" w:type="pct"/>
            <w:vMerge w:val="continue"/>
            <w:tcBorders>
              <w:top w:val="nil"/>
              <w:left w:val="single" w:color="000000"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nil"/>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ascii="宋体" w:hAnsi="宋体" w:eastAsia="宋体" w:cs="宋体"/>
                <w:kern w:val="0"/>
                <w:sz w:val="24"/>
                <w:szCs w:val="24"/>
              </w:rPr>
              <w:t xml:space="preserve">6 </w:t>
            </w:r>
            <w:r>
              <w:rPr>
                <w:rFonts w:hint="eastAsia" w:ascii="宋体" w:hAnsi="宋体" w:eastAsia="宋体" w:cs="宋体"/>
                <w:kern w:val="0"/>
                <w:sz w:val="24"/>
                <w:szCs w:val="24"/>
              </w:rPr>
              <w:t>要求所投产品支持软件定义网络</w:t>
            </w:r>
            <w:r>
              <w:rPr>
                <w:rFonts w:ascii="宋体" w:hAnsi="宋体" w:eastAsia="宋体" w:cs="宋体"/>
                <w:kern w:val="0"/>
                <w:sz w:val="24"/>
                <w:szCs w:val="24"/>
              </w:rPr>
              <w:t>SDN</w:t>
            </w:r>
            <w:r>
              <w:rPr>
                <w:rFonts w:hint="eastAsia" w:ascii="宋体" w:hAnsi="宋体" w:eastAsia="宋体" w:cs="宋体"/>
                <w:kern w:val="0"/>
                <w:sz w:val="24"/>
                <w:szCs w:val="24"/>
              </w:rPr>
              <w:t>，符合</w:t>
            </w:r>
            <w:r>
              <w:rPr>
                <w:rFonts w:ascii="宋体" w:hAnsi="宋体" w:eastAsia="宋体" w:cs="宋体"/>
                <w:kern w:val="0"/>
                <w:sz w:val="24"/>
                <w:szCs w:val="24"/>
              </w:rPr>
              <w:t>OpenFlow 1.3</w:t>
            </w:r>
            <w:r>
              <w:rPr>
                <w:rFonts w:hint="eastAsia" w:ascii="宋体" w:hAnsi="宋体" w:eastAsia="宋体" w:cs="宋体"/>
                <w:kern w:val="0"/>
                <w:sz w:val="24"/>
                <w:szCs w:val="24"/>
              </w:rPr>
              <w:t>协议标准，支持</w:t>
            </w:r>
            <w:r>
              <w:rPr>
                <w:rFonts w:ascii="宋体" w:hAnsi="宋体" w:eastAsia="宋体" w:cs="宋体"/>
                <w:kern w:val="0"/>
                <w:sz w:val="24"/>
                <w:szCs w:val="24"/>
              </w:rPr>
              <w:t>SDN</w:t>
            </w:r>
            <w:r>
              <w:rPr>
                <w:rFonts w:hint="eastAsia" w:ascii="宋体" w:hAnsi="宋体" w:eastAsia="宋体" w:cs="宋体"/>
                <w:kern w:val="0"/>
                <w:sz w:val="24"/>
                <w:szCs w:val="24"/>
              </w:rPr>
              <w:t>和</w:t>
            </w:r>
            <w:r>
              <w:rPr>
                <w:rFonts w:ascii="宋体" w:hAnsi="宋体" w:eastAsia="宋体" w:cs="宋体"/>
                <w:kern w:val="0"/>
                <w:sz w:val="24"/>
                <w:szCs w:val="24"/>
              </w:rPr>
              <w:t>SDN Ready</w:t>
            </w:r>
            <w:r>
              <w:rPr>
                <w:rFonts w:hint="eastAsia" w:ascii="宋体" w:hAnsi="宋体" w:eastAsia="宋体" w:cs="宋体"/>
                <w:kern w:val="0"/>
                <w:sz w:val="24"/>
                <w:szCs w:val="24"/>
              </w:rPr>
              <w:t>功能。</w:t>
            </w:r>
          </w:p>
        </w:tc>
        <w:tc>
          <w:tcPr>
            <w:tcW w:w="446" w:type="pct"/>
            <w:vMerge w:val="continue"/>
            <w:tcBorders>
              <w:top w:val="nil"/>
              <w:left w:val="single" w:color="000000"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nil"/>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40" w:hRule="atLeast"/>
        </w:trPr>
        <w:tc>
          <w:tcPr>
            <w:tcW w:w="339" w:type="pct"/>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rPr>
                <w:rFonts w:ascii="宋体" w:hAnsi="宋体" w:eastAsia="宋体" w:cs="宋体"/>
                <w:kern w:val="0"/>
                <w:sz w:val="24"/>
                <w:szCs w:val="24"/>
              </w:rPr>
            </w:pPr>
            <w:r>
              <w:rPr>
                <w:rFonts w:ascii="宋体" w:hAnsi="宋体" w:eastAsia="宋体" w:cs="宋体"/>
                <w:kern w:val="0"/>
                <w:sz w:val="24"/>
                <w:szCs w:val="24"/>
              </w:rPr>
              <w:t xml:space="preserve">7 </w:t>
            </w:r>
            <w:r>
              <w:rPr>
                <w:rFonts w:hint="eastAsia" w:ascii="宋体" w:hAnsi="宋体" w:eastAsia="宋体" w:cs="宋体"/>
                <w:kern w:val="0"/>
                <w:sz w:val="24"/>
                <w:szCs w:val="24"/>
              </w:rPr>
              <w:t>支持专门针对</w:t>
            </w:r>
            <w:r>
              <w:rPr>
                <w:rFonts w:ascii="宋体" w:hAnsi="宋体" w:eastAsia="宋体" w:cs="宋体"/>
                <w:kern w:val="0"/>
                <w:sz w:val="24"/>
                <w:szCs w:val="24"/>
              </w:rPr>
              <w:t>CPU</w:t>
            </w:r>
            <w:r>
              <w:rPr>
                <w:rFonts w:hint="eastAsia" w:ascii="宋体" w:hAnsi="宋体" w:eastAsia="宋体" w:cs="宋体"/>
                <w:kern w:val="0"/>
                <w:sz w:val="24"/>
                <w:szCs w:val="24"/>
              </w:rPr>
              <w:t>的保护机制，能够针对发往</w:t>
            </w:r>
            <w:r>
              <w:rPr>
                <w:rFonts w:ascii="宋体" w:hAnsi="宋体" w:eastAsia="宋体" w:cs="宋体"/>
                <w:kern w:val="0"/>
                <w:sz w:val="24"/>
                <w:szCs w:val="24"/>
              </w:rPr>
              <w:t>CPU</w:t>
            </w:r>
            <w:r>
              <w:rPr>
                <w:rFonts w:hint="eastAsia" w:ascii="宋体" w:hAnsi="宋体" w:eastAsia="宋体" w:cs="宋体"/>
                <w:kern w:val="0"/>
                <w:sz w:val="24"/>
                <w:szCs w:val="24"/>
              </w:rPr>
              <w:t>处理的各种报文进行流量控制和优先级处理，保护交换机在各种环境下稳定工作。</w:t>
            </w:r>
          </w:p>
        </w:tc>
        <w:tc>
          <w:tcPr>
            <w:tcW w:w="446" w:type="pct"/>
            <w:vMerge w:val="continue"/>
            <w:tcBorders>
              <w:top w:val="nil"/>
              <w:left w:val="single" w:color="000000"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nil"/>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rPr>
                <w:rFonts w:ascii="宋体" w:hAnsi="宋体" w:eastAsia="宋体" w:cs="宋体"/>
                <w:kern w:val="0"/>
                <w:sz w:val="24"/>
                <w:szCs w:val="24"/>
              </w:rPr>
            </w:pPr>
            <w:r>
              <w:rPr>
                <w:rFonts w:ascii="宋体" w:hAnsi="宋体" w:eastAsia="宋体" w:cs="宋体"/>
                <w:kern w:val="0"/>
                <w:sz w:val="24"/>
                <w:szCs w:val="24"/>
              </w:rPr>
              <w:t xml:space="preserve">8 </w:t>
            </w:r>
            <w:r>
              <w:rPr>
                <w:rFonts w:hint="eastAsia" w:ascii="宋体" w:hAnsi="宋体" w:eastAsia="宋体" w:cs="宋体"/>
                <w:kern w:val="0"/>
                <w:sz w:val="24"/>
                <w:szCs w:val="24"/>
              </w:rPr>
              <w:t>支持</w:t>
            </w:r>
            <w:r>
              <w:rPr>
                <w:rFonts w:ascii="宋体" w:hAnsi="宋体" w:eastAsia="宋体" w:cs="宋体"/>
                <w:kern w:val="0"/>
                <w:sz w:val="24"/>
                <w:szCs w:val="24"/>
              </w:rPr>
              <w:t>“</w:t>
            </w:r>
            <w:r>
              <w:rPr>
                <w:rFonts w:hint="eastAsia" w:ascii="宋体" w:hAnsi="宋体" w:eastAsia="宋体" w:cs="宋体"/>
                <w:kern w:val="0"/>
                <w:sz w:val="24"/>
                <w:szCs w:val="24"/>
              </w:rPr>
              <w:t>多虚一</w:t>
            </w:r>
            <w:r>
              <w:rPr>
                <w:rFonts w:ascii="宋体" w:hAnsi="宋体" w:eastAsia="宋体" w:cs="宋体"/>
                <w:kern w:val="0"/>
                <w:sz w:val="24"/>
                <w:szCs w:val="24"/>
              </w:rPr>
              <w:t>”</w:t>
            </w:r>
            <w:r>
              <w:rPr>
                <w:rFonts w:hint="eastAsia" w:ascii="宋体" w:hAnsi="宋体" w:eastAsia="宋体" w:cs="宋体"/>
                <w:kern w:val="0"/>
                <w:sz w:val="24"/>
                <w:szCs w:val="24"/>
              </w:rPr>
              <w:t>与</w:t>
            </w:r>
            <w:r>
              <w:rPr>
                <w:rFonts w:ascii="宋体" w:hAnsi="宋体" w:eastAsia="宋体" w:cs="宋体"/>
                <w:kern w:val="0"/>
                <w:sz w:val="24"/>
                <w:szCs w:val="24"/>
              </w:rPr>
              <w:t>“</w:t>
            </w:r>
            <w:r>
              <w:rPr>
                <w:rFonts w:hint="eastAsia" w:ascii="宋体" w:hAnsi="宋体" w:eastAsia="宋体" w:cs="宋体"/>
                <w:kern w:val="0"/>
                <w:sz w:val="24"/>
                <w:szCs w:val="24"/>
              </w:rPr>
              <w:t>一虚多</w:t>
            </w:r>
            <w:r>
              <w:rPr>
                <w:rFonts w:ascii="宋体" w:hAnsi="宋体" w:eastAsia="宋体" w:cs="宋体"/>
                <w:kern w:val="0"/>
                <w:sz w:val="24"/>
                <w:szCs w:val="24"/>
              </w:rPr>
              <w:t>”</w:t>
            </w:r>
            <w:r>
              <w:rPr>
                <w:rFonts w:hint="eastAsia" w:ascii="宋体" w:hAnsi="宋体" w:eastAsia="宋体" w:cs="宋体"/>
                <w:kern w:val="0"/>
                <w:sz w:val="24"/>
                <w:szCs w:val="24"/>
              </w:rPr>
              <w:t>同时使用，彻底实现资源池化。</w:t>
            </w:r>
          </w:p>
        </w:tc>
        <w:tc>
          <w:tcPr>
            <w:tcW w:w="446" w:type="pct"/>
            <w:vMerge w:val="continue"/>
            <w:tcBorders>
              <w:top w:val="nil"/>
              <w:left w:val="single" w:color="000000"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nil"/>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70" w:hRule="atLeast"/>
        </w:trPr>
        <w:tc>
          <w:tcPr>
            <w:tcW w:w="339" w:type="pct"/>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rPr>
                <w:rFonts w:ascii="宋体" w:hAnsi="宋体" w:eastAsia="宋体" w:cs="宋体"/>
                <w:kern w:val="0"/>
                <w:sz w:val="24"/>
                <w:szCs w:val="24"/>
              </w:rPr>
            </w:pPr>
            <w:r>
              <w:rPr>
                <w:rFonts w:ascii="宋体" w:hAnsi="宋体" w:eastAsia="宋体" w:cs="宋体"/>
                <w:kern w:val="0"/>
                <w:sz w:val="24"/>
                <w:szCs w:val="24"/>
              </w:rPr>
              <w:t>9 .(</w:t>
            </w:r>
            <w:r>
              <w:rPr>
                <w:rFonts w:hint="eastAsia" w:ascii="宋体" w:hAnsi="宋体" w:eastAsia="宋体" w:cs="宋体"/>
                <w:kern w:val="0"/>
                <w:sz w:val="24"/>
                <w:szCs w:val="24"/>
              </w:rPr>
              <w:t>配置双引擎，双电源，配置≥</w:t>
            </w:r>
            <w:r>
              <w:rPr>
                <w:rFonts w:ascii="宋体" w:hAnsi="宋体" w:eastAsia="宋体" w:cs="宋体"/>
                <w:kern w:val="0"/>
                <w:sz w:val="24"/>
                <w:szCs w:val="24"/>
              </w:rPr>
              <w:t>48</w:t>
            </w:r>
            <w:r>
              <w:rPr>
                <w:rFonts w:hint="eastAsia" w:ascii="宋体" w:hAnsi="宋体" w:eastAsia="宋体" w:cs="宋体"/>
                <w:kern w:val="0"/>
                <w:sz w:val="24"/>
                <w:szCs w:val="24"/>
              </w:rPr>
              <w:t>端口千兆以太网光口</w:t>
            </w:r>
            <w:r>
              <w:rPr>
                <w:rFonts w:ascii="宋体" w:hAnsi="宋体" w:eastAsia="宋体" w:cs="宋体"/>
                <w:kern w:val="0"/>
                <w:sz w:val="24"/>
                <w:szCs w:val="24"/>
              </w:rPr>
              <w:t>(SFP,LC)</w:t>
            </w:r>
            <w:r>
              <w:rPr>
                <w:rFonts w:hint="eastAsia" w:ascii="宋体" w:hAnsi="宋体" w:eastAsia="宋体" w:cs="宋体"/>
                <w:kern w:val="0"/>
                <w:sz w:val="24"/>
                <w:szCs w:val="24"/>
              </w:rPr>
              <w:t>，≥</w:t>
            </w:r>
            <w:r>
              <w:rPr>
                <w:rFonts w:ascii="宋体" w:hAnsi="宋体" w:eastAsia="宋体" w:cs="宋体"/>
                <w:kern w:val="0"/>
                <w:sz w:val="24"/>
                <w:szCs w:val="24"/>
              </w:rPr>
              <w:t>48</w:t>
            </w:r>
            <w:r>
              <w:rPr>
                <w:rFonts w:hint="eastAsia" w:ascii="宋体" w:hAnsi="宋体" w:eastAsia="宋体" w:cs="宋体"/>
                <w:kern w:val="0"/>
                <w:sz w:val="24"/>
                <w:szCs w:val="24"/>
              </w:rPr>
              <w:t>端口千兆以太网电口</w:t>
            </w:r>
            <w:r>
              <w:rPr>
                <w:rFonts w:ascii="宋体" w:hAnsi="宋体" w:eastAsia="宋体" w:cs="宋体"/>
                <w:kern w:val="0"/>
                <w:sz w:val="24"/>
                <w:szCs w:val="24"/>
              </w:rPr>
              <w:t>(RJ45)</w:t>
            </w:r>
            <w:r>
              <w:rPr>
                <w:rFonts w:hint="eastAsia" w:ascii="宋体" w:hAnsi="宋体" w:eastAsia="宋体" w:cs="宋体"/>
                <w:kern w:val="0"/>
                <w:sz w:val="24"/>
                <w:szCs w:val="24"/>
              </w:rPr>
              <w:t>，≥</w:t>
            </w:r>
            <w:r>
              <w:rPr>
                <w:rFonts w:ascii="宋体" w:hAnsi="宋体" w:eastAsia="宋体" w:cs="宋体"/>
                <w:kern w:val="0"/>
                <w:sz w:val="24"/>
                <w:szCs w:val="24"/>
              </w:rPr>
              <w:t>20</w:t>
            </w:r>
            <w:r>
              <w:rPr>
                <w:rFonts w:hint="eastAsia" w:ascii="宋体" w:hAnsi="宋体" w:eastAsia="宋体" w:cs="宋体"/>
                <w:kern w:val="0"/>
                <w:sz w:val="24"/>
                <w:szCs w:val="24"/>
              </w:rPr>
              <w:t>端口万兆以太网光口</w:t>
            </w:r>
            <w:r>
              <w:rPr>
                <w:rFonts w:ascii="宋体" w:hAnsi="宋体" w:eastAsia="宋体" w:cs="宋体"/>
                <w:kern w:val="0"/>
                <w:sz w:val="24"/>
                <w:szCs w:val="24"/>
              </w:rPr>
              <w:t>(SFP+,LC))</w:t>
            </w:r>
          </w:p>
        </w:tc>
        <w:tc>
          <w:tcPr>
            <w:tcW w:w="446" w:type="pct"/>
            <w:vMerge w:val="continue"/>
            <w:tcBorders>
              <w:top w:val="nil"/>
              <w:left w:val="single" w:color="000000"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nil"/>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70" w:hRule="atLeast"/>
        </w:trPr>
        <w:tc>
          <w:tcPr>
            <w:tcW w:w="339" w:type="pct"/>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ascii="宋体" w:hAnsi="宋体" w:eastAsia="宋体" w:cs="宋体"/>
                <w:kern w:val="0"/>
                <w:sz w:val="24"/>
                <w:szCs w:val="24"/>
              </w:rPr>
              <w:t xml:space="preserve">10 </w:t>
            </w:r>
            <w:r>
              <w:rPr>
                <w:rFonts w:hint="eastAsia" w:ascii="宋体" w:hAnsi="宋体" w:eastAsia="宋体" w:cs="宋体"/>
                <w:kern w:val="0"/>
                <w:sz w:val="24"/>
                <w:szCs w:val="24"/>
              </w:rPr>
              <w:t>单槽位能够同时提供千兆光口、千兆电口、万兆光口，且实际可用端口总数≥</w:t>
            </w:r>
            <w:r>
              <w:rPr>
                <w:rFonts w:ascii="宋体" w:hAnsi="宋体" w:eastAsia="宋体" w:cs="宋体"/>
                <w:kern w:val="0"/>
                <w:sz w:val="24"/>
                <w:szCs w:val="24"/>
              </w:rPr>
              <w:t>52</w:t>
            </w:r>
            <w:r>
              <w:rPr>
                <w:rFonts w:hint="eastAsia" w:ascii="宋体" w:hAnsi="宋体" w:eastAsia="宋体" w:cs="宋体"/>
                <w:kern w:val="0"/>
                <w:sz w:val="24"/>
                <w:szCs w:val="24"/>
              </w:rPr>
              <w:t>，提高槽位利用率和业务可靠性（</w:t>
            </w:r>
            <w:r>
              <w:rPr>
                <w:rFonts w:ascii="宋体" w:hAnsi="宋体" w:eastAsia="宋体" w:cs="宋体"/>
                <w:kern w:val="0"/>
                <w:sz w:val="24"/>
                <w:szCs w:val="24"/>
              </w:rPr>
              <w:t>24</w:t>
            </w:r>
            <w:r>
              <w:rPr>
                <w:rFonts w:hint="eastAsia" w:ascii="宋体" w:hAnsi="宋体" w:eastAsia="宋体" w:cs="宋体"/>
                <w:kern w:val="0"/>
                <w:sz w:val="24"/>
                <w:szCs w:val="24"/>
              </w:rPr>
              <w:t>电</w:t>
            </w:r>
            <w:r>
              <w:rPr>
                <w:rFonts w:ascii="宋体" w:hAnsi="宋体" w:eastAsia="宋体" w:cs="宋体"/>
                <w:kern w:val="0"/>
                <w:sz w:val="24"/>
                <w:szCs w:val="24"/>
              </w:rPr>
              <w:t>+24</w:t>
            </w:r>
            <w:r>
              <w:rPr>
                <w:rFonts w:hint="eastAsia" w:ascii="宋体" w:hAnsi="宋体" w:eastAsia="宋体" w:cs="宋体"/>
                <w:kern w:val="0"/>
                <w:sz w:val="24"/>
                <w:szCs w:val="24"/>
              </w:rPr>
              <w:t>光</w:t>
            </w:r>
            <w:r>
              <w:rPr>
                <w:rFonts w:ascii="宋体" w:hAnsi="宋体" w:eastAsia="宋体" w:cs="宋体"/>
                <w:kern w:val="0"/>
                <w:sz w:val="24"/>
                <w:szCs w:val="24"/>
              </w:rPr>
              <w:t>+4</w:t>
            </w:r>
            <w:r>
              <w:rPr>
                <w:rFonts w:hint="eastAsia" w:ascii="宋体" w:hAnsi="宋体" w:eastAsia="宋体" w:cs="宋体"/>
                <w:kern w:val="0"/>
                <w:sz w:val="24"/>
                <w:szCs w:val="24"/>
              </w:rPr>
              <w:t>万兆光或者</w:t>
            </w:r>
            <w:r>
              <w:rPr>
                <w:rFonts w:ascii="宋体" w:hAnsi="宋体" w:eastAsia="宋体" w:cs="宋体"/>
                <w:kern w:val="0"/>
                <w:sz w:val="24"/>
                <w:szCs w:val="24"/>
              </w:rPr>
              <w:t>36</w:t>
            </w:r>
            <w:r>
              <w:rPr>
                <w:rFonts w:hint="eastAsia" w:ascii="宋体" w:hAnsi="宋体" w:eastAsia="宋体" w:cs="宋体"/>
                <w:kern w:val="0"/>
                <w:sz w:val="24"/>
                <w:szCs w:val="24"/>
              </w:rPr>
              <w:t>电</w:t>
            </w:r>
            <w:r>
              <w:rPr>
                <w:rFonts w:ascii="宋体" w:hAnsi="宋体" w:eastAsia="宋体" w:cs="宋体"/>
                <w:kern w:val="0"/>
                <w:sz w:val="24"/>
                <w:szCs w:val="24"/>
              </w:rPr>
              <w:t>+12</w:t>
            </w:r>
            <w:r>
              <w:rPr>
                <w:rFonts w:hint="eastAsia" w:ascii="宋体" w:hAnsi="宋体" w:eastAsia="宋体" w:cs="宋体"/>
                <w:kern w:val="0"/>
                <w:sz w:val="24"/>
                <w:szCs w:val="24"/>
              </w:rPr>
              <w:t>光</w:t>
            </w:r>
            <w:r>
              <w:rPr>
                <w:rFonts w:ascii="宋体" w:hAnsi="宋体" w:eastAsia="宋体" w:cs="宋体"/>
                <w:kern w:val="0"/>
                <w:sz w:val="24"/>
                <w:szCs w:val="24"/>
              </w:rPr>
              <w:t>+4</w:t>
            </w:r>
            <w:r>
              <w:rPr>
                <w:rFonts w:hint="eastAsia" w:ascii="宋体" w:hAnsi="宋体" w:eastAsia="宋体" w:cs="宋体"/>
                <w:kern w:val="0"/>
                <w:sz w:val="24"/>
                <w:szCs w:val="24"/>
              </w:rPr>
              <w:t>万兆光）</w:t>
            </w:r>
          </w:p>
        </w:tc>
        <w:tc>
          <w:tcPr>
            <w:tcW w:w="446" w:type="pct"/>
            <w:vMerge w:val="continue"/>
            <w:tcBorders>
              <w:top w:val="nil"/>
              <w:left w:val="single" w:color="000000"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nil"/>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ascii="宋体" w:hAnsi="宋体" w:eastAsia="宋体" w:cs="宋体"/>
                <w:kern w:val="0"/>
                <w:sz w:val="24"/>
                <w:szCs w:val="24"/>
              </w:rPr>
              <w:t>11</w:t>
            </w:r>
            <w:r>
              <w:rPr>
                <w:rFonts w:hint="eastAsia" w:ascii="宋体" w:hAnsi="宋体" w:eastAsia="宋体" w:cs="宋体"/>
                <w:kern w:val="0"/>
                <w:sz w:val="24"/>
                <w:szCs w:val="24"/>
              </w:rPr>
              <w:t>设备具备</w:t>
            </w:r>
            <w:r>
              <w:rPr>
                <w:rFonts w:ascii="宋体" w:hAnsi="宋体" w:eastAsia="宋体" w:cs="宋体"/>
                <w:kern w:val="0"/>
                <w:sz w:val="24"/>
                <w:szCs w:val="24"/>
              </w:rPr>
              <w:t>6KV</w:t>
            </w:r>
            <w:r>
              <w:rPr>
                <w:rFonts w:hint="eastAsia" w:ascii="宋体" w:hAnsi="宋体" w:eastAsia="宋体" w:cs="宋体"/>
                <w:kern w:val="0"/>
                <w:sz w:val="24"/>
                <w:szCs w:val="24"/>
              </w:rPr>
              <w:t>的端口防雷能力。</w:t>
            </w:r>
            <w:r>
              <w:rPr>
                <w:rFonts w:ascii="宋体" w:hAnsi="宋体" w:eastAsia="宋体" w:cs="宋体"/>
                <w:kern w:val="0"/>
                <w:sz w:val="24"/>
                <w:szCs w:val="24"/>
              </w:rPr>
              <w:t xml:space="preserve"> </w:t>
            </w:r>
          </w:p>
        </w:tc>
        <w:tc>
          <w:tcPr>
            <w:tcW w:w="446" w:type="pct"/>
            <w:vMerge w:val="continue"/>
            <w:tcBorders>
              <w:top w:val="nil"/>
              <w:left w:val="single" w:color="000000"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nil"/>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ascii="宋体" w:hAnsi="宋体" w:eastAsia="宋体" w:cs="宋体"/>
                <w:kern w:val="0"/>
                <w:sz w:val="24"/>
                <w:szCs w:val="24"/>
              </w:rPr>
              <w:t xml:space="preserve">12 </w:t>
            </w:r>
            <w:r>
              <w:rPr>
                <w:rFonts w:hint="eastAsia" w:ascii="宋体" w:hAnsi="宋体" w:eastAsia="宋体" w:cs="宋体"/>
                <w:kern w:val="0"/>
                <w:sz w:val="24"/>
                <w:szCs w:val="24"/>
              </w:rPr>
              <w:t>支持</w:t>
            </w:r>
            <w:r>
              <w:rPr>
                <w:rFonts w:ascii="宋体" w:hAnsi="宋体" w:eastAsia="宋体" w:cs="宋体"/>
                <w:kern w:val="0"/>
                <w:sz w:val="24"/>
                <w:szCs w:val="24"/>
              </w:rPr>
              <w:t>SAVI</w:t>
            </w:r>
            <w:r>
              <w:rPr>
                <w:rFonts w:hint="eastAsia" w:ascii="宋体" w:hAnsi="宋体" w:eastAsia="宋体" w:cs="宋体"/>
                <w:kern w:val="0"/>
                <w:sz w:val="24"/>
                <w:szCs w:val="24"/>
              </w:rPr>
              <w:t>防止地址解析欺骗策略</w:t>
            </w:r>
          </w:p>
        </w:tc>
        <w:tc>
          <w:tcPr>
            <w:tcW w:w="446" w:type="pct"/>
            <w:vMerge w:val="continue"/>
            <w:tcBorders>
              <w:top w:val="nil"/>
              <w:left w:val="single" w:color="000000" w:sz="8" w:space="0"/>
              <w:bottom w:val="nil"/>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nil"/>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restart"/>
            <w:tcBorders>
              <w:top w:val="single" w:color="auto" w:sz="8" w:space="0"/>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722" w:type="pct"/>
            <w:vMerge w:val="restart"/>
            <w:tcBorders>
              <w:top w:val="single" w:color="auto" w:sz="8" w:space="0"/>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24口光纤配线架（含耦合器面板）</w:t>
            </w:r>
          </w:p>
        </w:tc>
        <w:tc>
          <w:tcPr>
            <w:tcW w:w="2941" w:type="pct"/>
            <w:tcBorders>
              <w:top w:val="single" w:color="auto" w:sz="8" w:space="0"/>
              <w:left w:val="nil"/>
              <w:bottom w:val="nil"/>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1.19’标准机架式内可固定之终端收容箱。</w:t>
            </w:r>
          </w:p>
        </w:tc>
        <w:tc>
          <w:tcPr>
            <w:tcW w:w="446" w:type="pct"/>
            <w:vMerge w:val="restart"/>
            <w:tcBorders>
              <w:top w:val="single" w:color="auto"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c>
          <w:tcPr>
            <w:tcW w:w="552" w:type="pct"/>
            <w:vMerge w:val="restart"/>
            <w:tcBorders>
              <w:top w:val="single" w:color="auto" w:sz="8" w:space="0"/>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2</w:t>
            </w:r>
          </w:p>
        </w:tc>
      </w:tr>
      <w:tr>
        <w:tblPrEx>
          <w:tblCellMar>
            <w:top w:w="0" w:type="dxa"/>
            <w:left w:w="108" w:type="dxa"/>
            <w:bottom w:w="0" w:type="dxa"/>
            <w:right w:w="108" w:type="dxa"/>
          </w:tblCellMar>
        </w:tblPrEx>
        <w:trPr>
          <w:trHeight w:val="270" w:hRule="atLeast"/>
        </w:trPr>
        <w:tc>
          <w:tcPr>
            <w:tcW w:w="339" w:type="pct"/>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single" w:color="auto"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2.高密度，1HU最多可支持48芯LC耦合器。</w:t>
            </w:r>
          </w:p>
        </w:tc>
        <w:tc>
          <w:tcPr>
            <w:tcW w:w="446" w:type="pct"/>
            <w:vMerge w:val="continue"/>
            <w:tcBorders>
              <w:top w:val="single" w:color="auto"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single" w:color="auto" w:sz="8" w:space="0"/>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single" w:color="auto"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3.模块化配置，产品所配置面板为单元模块卡接式，灵活装卸。</w:t>
            </w:r>
          </w:p>
        </w:tc>
        <w:tc>
          <w:tcPr>
            <w:tcW w:w="446" w:type="pct"/>
            <w:vMerge w:val="continue"/>
            <w:tcBorders>
              <w:top w:val="single" w:color="auto"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single" w:color="auto" w:sz="8" w:space="0"/>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single" w:color="auto"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4.箱内自带水平理线环及跳线管理装置，可提供弯曲半径保护。</w:t>
            </w:r>
          </w:p>
        </w:tc>
        <w:tc>
          <w:tcPr>
            <w:tcW w:w="446" w:type="pct"/>
            <w:vMerge w:val="continue"/>
            <w:tcBorders>
              <w:top w:val="single" w:color="auto"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single" w:color="auto" w:sz="8" w:space="0"/>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single" w:color="auto"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5.抽屉式结构，采用不锈钢导轨，确保抽屉推拉顺畅。</w:t>
            </w:r>
          </w:p>
        </w:tc>
        <w:tc>
          <w:tcPr>
            <w:tcW w:w="446" w:type="pct"/>
            <w:vMerge w:val="continue"/>
            <w:tcBorders>
              <w:top w:val="single" w:color="auto"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single" w:color="auto" w:sz="8" w:space="0"/>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single" w:color="auto"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6.自带有标签装置，可以对每个端口进行标识与定义。7.配线架前面板可灵活拆卸，满足灵活安装适配器需求。</w:t>
            </w:r>
          </w:p>
        </w:tc>
        <w:tc>
          <w:tcPr>
            <w:tcW w:w="446" w:type="pct"/>
            <w:vMerge w:val="continue"/>
            <w:tcBorders>
              <w:top w:val="single" w:color="auto"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single" w:color="auto" w:sz="8" w:space="0"/>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single" w:color="auto"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auto" w:sz="8" w:space="0"/>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8.配线架表面经防静电喷涂及防盐雾处理。</w:t>
            </w:r>
          </w:p>
        </w:tc>
        <w:tc>
          <w:tcPr>
            <w:tcW w:w="446" w:type="pct"/>
            <w:vMerge w:val="continue"/>
            <w:tcBorders>
              <w:top w:val="single" w:color="auto"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single" w:color="auto" w:sz="8" w:space="0"/>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16</w:t>
            </w:r>
          </w:p>
        </w:tc>
        <w:tc>
          <w:tcPr>
            <w:tcW w:w="722"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LC双工藕合器</w:t>
            </w:r>
          </w:p>
        </w:tc>
        <w:tc>
          <w:tcPr>
            <w:tcW w:w="2941" w:type="pct"/>
            <w:tcBorders>
              <w:top w:val="nil"/>
              <w:left w:val="nil"/>
              <w:bottom w:val="nil"/>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1）选用LC光纤耦合器，陶瓷套筒。</w:t>
            </w:r>
          </w:p>
        </w:tc>
        <w:tc>
          <w:tcPr>
            <w:tcW w:w="44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552" w:type="pct"/>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120</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2）性能符合ISO/IEC 1801 2版 2002和ANSI/TIA/EIA-568-B系列标准中连接件要求。</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3）插入损耗&lt;0.3dB。</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17</w:t>
            </w:r>
          </w:p>
        </w:tc>
        <w:tc>
          <w:tcPr>
            <w:tcW w:w="722"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双芯单模光纤跳线-3米</w:t>
            </w:r>
          </w:p>
        </w:tc>
        <w:tc>
          <w:tcPr>
            <w:tcW w:w="2941" w:type="pct"/>
            <w:tcBorders>
              <w:top w:val="nil"/>
              <w:left w:val="nil"/>
              <w:bottom w:val="nil"/>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1)光纤规格：单模9/125µm</w:t>
            </w:r>
          </w:p>
        </w:tc>
        <w:tc>
          <w:tcPr>
            <w:tcW w:w="44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根</w:t>
            </w:r>
          </w:p>
        </w:tc>
        <w:tc>
          <w:tcPr>
            <w:tcW w:w="552" w:type="pct"/>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14</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2)执行标准：ISO/IEC 11801:2002 Ed2.0，ANSI/TIA 568C.3</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3)护套材质：低烟无卤护套</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4)双工跳线的2芯采用不同颜色，以方便识别正确的极性状态；</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5）平均插入损耗：&lt;0.3dB。</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18</w:t>
            </w:r>
          </w:p>
        </w:tc>
        <w:tc>
          <w:tcPr>
            <w:tcW w:w="722"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1.5米单模尾纤</w:t>
            </w:r>
          </w:p>
        </w:tc>
        <w:tc>
          <w:tcPr>
            <w:tcW w:w="2941" w:type="pct"/>
            <w:tcBorders>
              <w:top w:val="nil"/>
              <w:left w:val="nil"/>
              <w:bottom w:val="nil"/>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1.性能超过ANSI/TIA-568-C.3中关于光纤连接硬件的规范要求。</w:t>
            </w:r>
          </w:p>
        </w:tc>
        <w:tc>
          <w:tcPr>
            <w:tcW w:w="44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根</w:t>
            </w:r>
          </w:p>
        </w:tc>
        <w:tc>
          <w:tcPr>
            <w:tcW w:w="552" w:type="pct"/>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240</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2.提供最好的机械性能，防止弯曲造成损坏。</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3.护套：LSZH（低烟无卤）。</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4.单模9/125 纤芯，可提供ST、SC、LC等各种连接头。</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5.平均插入损耗：&lt;0.3dB。</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19</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光纤熔接</w:t>
            </w:r>
          </w:p>
        </w:tc>
        <w:tc>
          <w:tcPr>
            <w:tcW w:w="294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国标</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根</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240</w:t>
            </w:r>
          </w:p>
        </w:tc>
      </w:tr>
      <w:tr>
        <w:tblPrEx>
          <w:tblCellMar>
            <w:top w:w="0" w:type="dxa"/>
            <w:left w:w="108" w:type="dxa"/>
            <w:bottom w:w="0" w:type="dxa"/>
            <w:right w:w="108" w:type="dxa"/>
          </w:tblCellMar>
        </w:tblPrEx>
        <w:trPr>
          <w:trHeight w:val="270" w:hRule="atLeast"/>
        </w:trPr>
        <w:tc>
          <w:tcPr>
            <w:tcW w:w="339" w:type="pct"/>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22"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42U智能化机柜</w:t>
            </w: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1）600*1000*2000mm机柜；</w:t>
            </w:r>
          </w:p>
        </w:tc>
        <w:tc>
          <w:tcPr>
            <w:tcW w:w="44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c>
          <w:tcPr>
            <w:tcW w:w="552" w:type="pct"/>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2）机柜静态承载能力≥1850kg.</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3）符合标准：IEC60297-2,GB/T3047.2-92,YDT2319-2011,兼容19"国际标准，ETSL标准。4；</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4）满足9级烈度要求,带载承重600kg。</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339" w:type="pct"/>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21</w:t>
            </w:r>
          </w:p>
        </w:tc>
        <w:tc>
          <w:tcPr>
            <w:tcW w:w="722"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24口POE接入交换机</w:t>
            </w: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ascii="宋体" w:hAnsi="宋体" w:eastAsia="宋体" w:cs="宋体"/>
                <w:kern w:val="0"/>
                <w:sz w:val="24"/>
                <w:szCs w:val="24"/>
              </w:rPr>
              <w:t xml:space="preserve">1 </w:t>
            </w:r>
            <w:r>
              <w:rPr>
                <w:rFonts w:hint="eastAsia" w:ascii="宋体" w:hAnsi="宋体" w:eastAsia="宋体" w:cs="宋体"/>
                <w:kern w:val="0"/>
                <w:sz w:val="24"/>
                <w:szCs w:val="24"/>
              </w:rPr>
              <w:t>交换容量</w:t>
            </w:r>
            <w:r>
              <w:rPr>
                <w:rFonts w:ascii="宋体" w:hAnsi="宋体" w:eastAsia="宋体" w:cs="宋体"/>
                <w:kern w:val="0"/>
                <w:sz w:val="24"/>
                <w:szCs w:val="24"/>
              </w:rPr>
              <w:t xml:space="preserve">≥3.36T </w:t>
            </w:r>
            <w:r>
              <w:rPr>
                <w:rFonts w:hint="eastAsia" w:ascii="宋体" w:hAnsi="宋体" w:eastAsia="宋体" w:cs="宋体"/>
                <w:kern w:val="0"/>
                <w:sz w:val="24"/>
                <w:szCs w:val="24"/>
              </w:rPr>
              <w:t>，转发性能</w:t>
            </w:r>
            <w:r>
              <w:rPr>
                <w:rFonts w:ascii="宋体" w:hAnsi="宋体" w:eastAsia="宋体" w:cs="宋体"/>
                <w:kern w:val="0"/>
                <w:sz w:val="24"/>
                <w:szCs w:val="24"/>
              </w:rPr>
              <w:t xml:space="preserve">≥120Mpps </w:t>
            </w:r>
          </w:p>
        </w:tc>
        <w:tc>
          <w:tcPr>
            <w:tcW w:w="44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552" w:type="pct"/>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ascii="宋体" w:hAnsi="宋体" w:eastAsia="宋体" w:cs="宋体"/>
                <w:kern w:val="0"/>
                <w:sz w:val="24"/>
                <w:szCs w:val="24"/>
              </w:rPr>
              <w:t xml:space="preserve">2 </w:t>
            </w:r>
            <w:r>
              <w:rPr>
                <w:rFonts w:hint="eastAsia" w:ascii="宋体" w:hAnsi="宋体" w:eastAsia="宋体" w:cs="宋体"/>
                <w:kern w:val="0"/>
                <w:sz w:val="24"/>
                <w:szCs w:val="24"/>
              </w:rPr>
              <w:t>固化</w:t>
            </w:r>
            <w:r>
              <w:rPr>
                <w:rFonts w:ascii="宋体" w:hAnsi="宋体" w:eastAsia="宋体" w:cs="宋体"/>
                <w:kern w:val="0"/>
                <w:sz w:val="24"/>
                <w:szCs w:val="24"/>
              </w:rPr>
              <w:t>10/100/1000M</w:t>
            </w:r>
            <w:r>
              <w:rPr>
                <w:rFonts w:hint="eastAsia" w:ascii="宋体" w:hAnsi="宋体" w:eastAsia="宋体" w:cs="宋体"/>
                <w:kern w:val="0"/>
                <w:sz w:val="24"/>
                <w:szCs w:val="24"/>
              </w:rPr>
              <w:t>以太网端口</w:t>
            </w:r>
            <w:r>
              <w:rPr>
                <w:rFonts w:ascii="宋体" w:hAnsi="宋体" w:eastAsia="宋体" w:cs="宋体"/>
                <w:kern w:val="0"/>
                <w:sz w:val="24"/>
                <w:szCs w:val="24"/>
              </w:rPr>
              <w:t>≥24</w:t>
            </w:r>
            <w:r>
              <w:rPr>
                <w:rFonts w:hint="eastAsia" w:ascii="宋体" w:hAnsi="宋体" w:eastAsia="宋体" w:cs="宋体"/>
                <w:kern w:val="0"/>
                <w:sz w:val="24"/>
                <w:szCs w:val="24"/>
              </w:rPr>
              <w:t>，固化</w:t>
            </w:r>
            <w:r>
              <w:rPr>
                <w:rFonts w:ascii="宋体" w:hAnsi="宋体" w:eastAsia="宋体" w:cs="宋体"/>
                <w:kern w:val="0"/>
                <w:sz w:val="24"/>
                <w:szCs w:val="24"/>
              </w:rPr>
              <w:t>SFP</w:t>
            </w:r>
            <w:r>
              <w:rPr>
                <w:rFonts w:hint="eastAsia" w:ascii="宋体" w:hAnsi="宋体" w:eastAsia="宋体" w:cs="宋体"/>
                <w:kern w:val="0"/>
                <w:sz w:val="24"/>
                <w:szCs w:val="24"/>
              </w:rPr>
              <w:t>非复用口</w:t>
            </w:r>
            <w:r>
              <w:rPr>
                <w:rFonts w:ascii="宋体" w:hAnsi="宋体" w:eastAsia="宋体" w:cs="宋体"/>
                <w:kern w:val="0"/>
                <w:sz w:val="24"/>
                <w:szCs w:val="24"/>
              </w:rPr>
              <w:t>≥4</w:t>
            </w:r>
            <w:r>
              <w:rPr>
                <w:rFonts w:hint="eastAsia" w:ascii="宋体" w:hAnsi="宋体" w:eastAsia="宋体" w:cs="宋体"/>
                <w:kern w:val="0"/>
                <w:sz w:val="24"/>
                <w:szCs w:val="24"/>
              </w:rPr>
              <w:t>个</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ascii="宋体" w:hAnsi="宋体" w:eastAsia="宋体" w:cs="宋体"/>
                <w:kern w:val="0"/>
                <w:sz w:val="24"/>
                <w:szCs w:val="24"/>
              </w:rPr>
              <w:t xml:space="preserve">3 </w:t>
            </w:r>
            <w:r>
              <w:rPr>
                <w:rFonts w:hint="eastAsia" w:ascii="宋体" w:hAnsi="宋体" w:eastAsia="宋体" w:cs="宋体"/>
                <w:kern w:val="0"/>
                <w:sz w:val="24"/>
                <w:szCs w:val="24"/>
              </w:rPr>
              <w:t>要求所投设备</w:t>
            </w:r>
            <w:r>
              <w:rPr>
                <w:rFonts w:ascii="宋体" w:hAnsi="宋体" w:eastAsia="宋体" w:cs="宋体"/>
                <w:kern w:val="0"/>
                <w:sz w:val="24"/>
                <w:szCs w:val="24"/>
              </w:rPr>
              <w:t>MAC</w:t>
            </w:r>
            <w:r>
              <w:rPr>
                <w:rFonts w:hint="eastAsia" w:ascii="宋体" w:hAnsi="宋体" w:eastAsia="宋体" w:cs="宋体"/>
                <w:kern w:val="0"/>
                <w:sz w:val="24"/>
                <w:szCs w:val="24"/>
              </w:rPr>
              <w:t>地址</w:t>
            </w:r>
            <w:r>
              <w:rPr>
                <w:rFonts w:ascii="宋体" w:hAnsi="宋体" w:eastAsia="宋体" w:cs="宋体"/>
                <w:kern w:val="0"/>
                <w:sz w:val="24"/>
                <w:szCs w:val="24"/>
              </w:rPr>
              <w:t>≥16K</w:t>
            </w:r>
            <w:r>
              <w:rPr>
                <w:rFonts w:hint="eastAsia" w:ascii="宋体" w:hAnsi="宋体" w:eastAsia="宋体" w:cs="宋体"/>
                <w:kern w:val="0"/>
                <w:sz w:val="24"/>
                <w:szCs w:val="24"/>
              </w:rPr>
              <w:t>，</w:t>
            </w:r>
            <w:r>
              <w:rPr>
                <w:rFonts w:ascii="宋体" w:hAnsi="宋体" w:eastAsia="宋体" w:cs="宋体"/>
                <w:kern w:val="0"/>
                <w:sz w:val="24"/>
                <w:szCs w:val="24"/>
              </w:rPr>
              <w:t>ARP</w:t>
            </w:r>
            <w:r>
              <w:rPr>
                <w:rFonts w:hint="eastAsia" w:ascii="宋体" w:hAnsi="宋体" w:eastAsia="宋体" w:cs="宋体"/>
                <w:kern w:val="0"/>
                <w:sz w:val="24"/>
                <w:szCs w:val="24"/>
              </w:rPr>
              <w:t>表项</w:t>
            </w:r>
            <w:r>
              <w:rPr>
                <w:rFonts w:ascii="宋体" w:hAnsi="宋体" w:eastAsia="宋体" w:cs="宋体"/>
                <w:kern w:val="0"/>
                <w:sz w:val="24"/>
                <w:szCs w:val="24"/>
              </w:rPr>
              <w:t>≥1000</w:t>
            </w:r>
            <w:r>
              <w:rPr>
                <w:rFonts w:hint="eastAsia" w:ascii="宋体" w:hAnsi="宋体" w:eastAsia="宋体" w:cs="宋体"/>
                <w:kern w:val="0"/>
                <w:sz w:val="24"/>
                <w:szCs w:val="24"/>
              </w:rPr>
              <w:t>条</w:t>
            </w:r>
            <w:r>
              <w:rPr>
                <w:rFonts w:ascii="宋体" w:hAnsi="宋体" w:eastAsia="宋体" w:cs="宋体"/>
                <w:kern w:val="0"/>
                <w:sz w:val="24"/>
                <w:szCs w:val="24"/>
              </w:rPr>
              <w:t>,FIB</w:t>
            </w:r>
            <w:r>
              <w:rPr>
                <w:rFonts w:hint="eastAsia" w:ascii="宋体" w:hAnsi="宋体" w:eastAsia="宋体" w:cs="宋体"/>
                <w:kern w:val="0"/>
                <w:sz w:val="24"/>
                <w:szCs w:val="24"/>
              </w:rPr>
              <w:t>表项</w:t>
            </w:r>
            <w:r>
              <w:rPr>
                <w:rFonts w:ascii="宋体" w:hAnsi="宋体" w:eastAsia="宋体" w:cs="宋体"/>
                <w:kern w:val="0"/>
                <w:sz w:val="24"/>
                <w:szCs w:val="24"/>
              </w:rPr>
              <w:t>≥500</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ascii="宋体" w:hAnsi="宋体" w:eastAsia="宋体" w:cs="宋体"/>
                <w:kern w:val="0"/>
                <w:sz w:val="24"/>
                <w:szCs w:val="24"/>
              </w:rPr>
              <w:t xml:space="preserve">4 </w:t>
            </w:r>
            <w:r>
              <w:rPr>
                <w:rFonts w:hint="eastAsia" w:ascii="宋体" w:hAnsi="宋体" w:eastAsia="宋体" w:cs="宋体"/>
                <w:kern w:val="0"/>
                <w:sz w:val="24"/>
                <w:szCs w:val="24"/>
              </w:rPr>
              <w:t>支持</w:t>
            </w:r>
            <w:r>
              <w:rPr>
                <w:rFonts w:ascii="宋体" w:hAnsi="宋体" w:eastAsia="宋体" w:cs="宋体"/>
                <w:kern w:val="0"/>
                <w:sz w:val="24"/>
                <w:szCs w:val="24"/>
              </w:rPr>
              <w:t>IPv4</w:t>
            </w:r>
            <w:r>
              <w:rPr>
                <w:rFonts w:hint="eastAsia" w:ascii="宋体" w:hAnsi="宋体" w:eastAsia="宋体" w:cs="宋体"/>
                <w:kern w:val="0"/>
                <w:sz w:val="24"/>
                <w:szCs w:val="24"/>
              </w:rPr>
              <w:t>和</w:t>
            </w:r>
            <w:r>
              <w:rPr>
                <w:rFonts w:ascii="宋体" w:hAnsi="宋体" w:eastAsia="宋体" w:cs="宋体"/>
                <w:kern w:val="0"/>
                <w:sz w:val="24"/>
                <w:szCs w:val="24"/>
              </w:rPr>
              <w:t>IPv6</w:t>
            </w:r>
            <w:r>
              <w:rPr>
                <w:rFonts w:hint="eastAsia" w:ascii="宋体" w:hAnsi="宋体" w:eastAsia="宋体" w:cs="宋体"/>
                <w:kern w:val="0"/>
                <w:sz w:val="24"/>
                <w:szCs w:val="24"/>
              </w:rPr>
              <w:t>的静态路由、</w:t>
            </w:r>
            <w:r>
              <w:rPr>
                <w:rFonts w:ascii="宋体" w:hAnsi="宋体" w:eastAsia="宋体" w:cs="宋体"/>
                <w:kern w:val="0"/>
                <w:sz w:val="24"/>
                <w:szCs w:val="24"/>
              </w:rPr>
              <w:t>RIP/RIPng</w:t>
            </w:r>
            <w:r>
              <w:rPr>
                <w:rFonts w:hint="eastAsia" w:ascii="宋体" w:hAnsi="宋体" w:eastAsia="宋体" w:cs="宋体"/>
                <w:kern w:val="0"/>
                <w:sz w:val="24"/>
                <w:szCs w:val="24"/>
              </w:rPr>
              <w:t>、</w:t>
            </w:r>
            <w:r>
              <w:rPr>
                <w:rFonts w:ascii="宋体" w:hAnsi="宋体" w:eastAsia="宋体" w:cs="宋体"/>
                <w:kern w:val="0"/>
                <w:sz w:val="24"/>
                <w:szCs w:val="24"/>
              </w:rPr>
              <w:t>OSPFv2/OSPFv3</w:t>
            </w:r>
            <w:r>
              <w:rPr>
                <w:rFonts w:hint="eastAsia" w:ascii="宋体" w:hAnsi="宋体" w:eastAsia="宋体" w:cs="宋体"/>
                <w:kern w:val="0"/>
                <w:sz w:val="24"/>
                <w:szCs w:val="24"/>
              </w:rPr>
              <w:t>等三层路由协议</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ascii="宋体" w:hAnsi="宋体" w:eastAsia="宋体" w:cs="宋体"/>
                <w:kern w:val="0"/>
                <w:sz w:val="24"/>
                <w:szCs w:val="24"/>
              </w:rPr>
              <w:t xml:space="preserve">5 </w:t>
            </w:r>
            <w:r>
              <w:rPr>
                <w:rFonts w:hint="eastAsia" w:ascii="宋体" w:hAnsi="宋体" w:eastAsia="宋体" w:cs="宋体"/>
                <w:kern w:val="0"/>
                <w:sz w:val="24"/>
                <w:szCs w:val="24"/>
              </w:rPr>
              <w:t>为保证设备在受到外界机械碰撞时能够正常运行，要求所投交换机</w:t>
            </w:r>
            <w:r>
              <w:rPr>
                <w:rFonts w:ascii="宋体" w:hAnsi="宋体" w:eastAsia="宋体" w:cs="宋体"/>
                <w:kern w:val="0"/>
                <w:sz w:val="24"/>
                <w:szCs w:val="24"/>
              </w:rPr>
              <w:t>IK</w:t>
            </w:r>
            <w:r>
              <w:rPr>
                <w:rFonts w:hint="eastAsia" w:ascii="宋体" w:hAnsi="宋体" w:eastAsia="宋体" w:cs="宋体"/>
                <w:kern w:val="0"/>
                <w:sz w:val="24"/>
                <w:szCs w:val="24"/>
              </w:rPr>
              <w:t>防护测试级别至少达到</w:t>
            </w:r>
            <w:r>
              <w:rPr>
                <w:rFonts w:ascii="宋体" w:hAnsi="宋体" w:eastAsia="宋体" w:cs="宋体"/>
                <w:kern w:val="0"/>
                <w:sz w:val="24"/>
                <w:szCs w:val="24"/>
              </w:rPr>
              <w:t xml:space="preserve">IK05 </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ascii="宋体" w:hAnsi="宋体" w:eastAsia="宋体" w:cs="宋体"/>
                <w:kern w:val="0"/>
                <w:sz w:val="24"/>
                <w:szCs w:val="24"/>
              </w:rPr>
              <w:t xml:space="preserve">6 </w:t>
            </w:r>
            <w:r>
              <w:rPr>
                <w:rFonts w:hint="eastAsia" w:ascii="宋体" w:hAnsi="宋体" w:eastAsia="宋体" w:cs="宋体"/>
                <w:kern w:val="0"/>
                <w:sz w:val="24"/>
                <w:szCs w:val="24"/>
              </w:rPr>
              <w:t>投标产品支持单端口</w:t>
            </w:r>
            <w:r>
              <w:rPr>
                <w:rFonts w:ascii="宋体" w:hAnsi="宋体" w:eastAsia="宋体" w:cs="宋体"/>
                <w:kern w:val="0"/>
                <w:sz w:val="24"/>
                <w:szCs w:val="24"/>
              </w:rPr>
              <w:t>POE</w:t>
            </w:r>
            <w:r>
              <w:rPr>
                <w:rFonts w:hint="eastAsia" w:ascii="宋体" w:hAnsi="宋体" w:eastAsia="宋体" w:cs="宋体"/>
                <w:kern w:val="0"/>
                <w:sz w:val="24"/>
                <w:szCs w:val="24"/>
              </w:rPr>
              <w:t>输出功率</w:t>
            </w:r>
            <w:r>
              <w:rPr>
                <w:rFonts w:ascii="宋体" w:hAnsi="宋体" w:eastAsia="宋体" w:cs="宋体"/>
                <w:kern w:val="0"/>
                <w:sz w:val="24"/>
                <w:szCs w:val="24"/>
              </w:rPr>
              <w:t>≥60W</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auto" w:fill="auto"/>
          </w:tcPr>
          <w:p>
            <w:pPr>
              <w:widowControl/>
              <w:jc w:val="left"/>
              <w:rPr>
                <w:rFonts w:ascii="宋体" w:hAnsi="宋体" w:eastAsia="宋体" w:cs="宋体"/>
                <w:kern w:val="0"/>
                <w:sz w:val="24"/>
                <w:szCs w:val="24"/>
              </w:rPr>
            </w:pPr>
            <w:r>
              <w:rPr>
                <w:rFonts w:ascii="宋体" w:hAnsi="宋体" w:eastAsia="宋体" w:cs="宋体"/>
                <w:kern w:val="0"/>
                <w:sz w:val="24"/>
                <w:szCs w:val="24"/>
              </w:rPr>
              <w:t xml:space="preserve">7 </w:t>
            </w:r>
            <w:r>
              <w:rPr>
                <w:rFonts w:hint="eastAsia" w:ascii="宋体" w:hAnsi="宋体" w:eastAsia="宋体" w:cs="宋体"/>
                <w:kern w:val="0"/>
                <w:sz w:val="24"/>
                <w:szCs w:val="24"/>
              </w:rPr>
              <w:t>投标产品所有电口支持</w:t>
            </w:r>
            <w:r>
              <w:rPr>
                <w:rFonts w:ascii="宋体" w:hAnsi="宋体" w:eastAsia="宋体" w:cs="宋体"/>
                <w:kern w:val="0"/>
                <w:sz w:val="24"/>
                <w:szCs w:val="24"/>
              </w:rPr>
              <w:t>POE</w:t>
            </w:r>
            <w:r>
              <w:rPr>
                <w:rFonts w:hint="eastAsia" w:ascii="宋体" w:hAnsi="宋体" w:eastAsia="宋体" w:cs="宋体"/>
                <w:kern w:val="0"/>
                <w:sz w:val="24"/>
                <w:szCs w:val="24"/>
              </w:rPr>
              <w:t>和</w:t>
            </w:r>
            <w:r>
              <w:rPr>
                <w:rFonts w:ascii="宋体" w:hAnsi="宋体" w:eastAsia="宋体" w:cs="宋体"/>
                <w:kern w:val="0"/>
                <w:sz w:val="24"/>
                <w:szCs w:val="24"/>
              </w:rPr>
              <w:t>POE+</w:t>
            </w:r>
            <w:r>
              <w:rPr>
                <w:rFonts w:hint="eastAsia" w:ascii="宋体" w:hAnsi="宋体" w:eastAsia="宋体" w:cs="宋体"/>
                <w:kern w:val="0"/>
                <w:sz w:val="24"/>
                <w:szCs w:val="24"/>
              </w:rPr>
              <w:t>远程供电，</w:t>
            </w:r>
            <w:r>
              <w:rPr>
                <w:rFonts w:ascii="宋体" w:hAnsi="宋体" w:eastAsia="宋体" w:cs="宋体"/>
                <w:kern w:val="0"/>
                <w:sz w:val="24"/>
                <w:szCs w:val="24"/>
              </w:rPr>
              <w:t>POE+</w:t>
            </w:r>
            <w:r>
              <w:rPr>
                <w:rFonts w:hint="eastAsia" w:ascii="宋体" w:hAnsi="宋体" w:eastAsia="宋体" w:cs="宋体"/>
                <w:kern w:val="0"/>
                <w:sz w:val="24"/>
                <w:szCs w:val="24"/>
              </w:rPr>
              <w:t>同时可供电端口数</w:t>
            </w:r>
            <w:r>
              <w:rPr>
                <w:rFonts w:ascii="宋体" w:hAnsi="宋体" w:eastAsia="宋体" w:cs="宋体"/>
                <w:kern w:val="0"/>
                <w:sz w:val="24"/>
                <w:szCs w:val="24"/>
              </w:rPr>
              <w:t>≥12</w:t>
            </w:r>
            <w:r>
              <w:rPr>
                <w:rFonts w:hint="eastAsia" w:ascii="宋体" w:hAnsi="宋体" w:eastAsia="宋体" w:cs="宋体"/>
                <w:kern w:val="0"/>
                <w:sz w:val="24"/>
                <w:szCs w:val="24"/>
              </w:rPr>
              <w:t>个，整机</w:t>
            </w:r>
            <w:r>
              <w:rPr>
                <w:rFonts w:ascii="宋体" w:hAnsi="宋体" w:eastAsia="宋体" w:cs="宋体"/>
                <w:kern w:val="0"/>
                <w:sz w:val="24"/>
                <w:szCs w:val="24"/>
              </w:rPr>
              <w:t>POE</w:t>
            </w:r>
            <w:r>
              <w:rPr>
                <w:rFonts w:hint="eastAsia" w:ascii="宋体" w:hAnsi="宋体" w:eastAsia="宋体" w:cs="宋体"/>
                <w:kern w:val="0"/>
                <w:sz w:val="24"/>
                <w:szCs w:val="24"/>
              </w:rPr>
              <w:t>功率输出</w:t>
            </w:r>
            <w:r>
              <w:rPr>
                <w:rFonts w:ascii="宋体" w:hAnsi="宋体" w:eastAsia="宋体" w:cs="宋体"/>
                <w:kern w:val="0"/>
                <w:sz w:val="24"/>
                <w:szCs w:val="24"/>
              </w:rPr>
              <w:t>≥370W</w:t>
            </w:r>
            <w:r>
              <w:rPr>
                <w:rFonts w:hint="eastAsia" w:ascii="宋体" w:hAnsi="宋体" w:eastAsia="宋体" w:cs="宋体"/>
                <w:kern w:val="0"/>
                <w:sz w:val="24"/>
                <w:szCs w:val="24"/>
              </w:rPr>
              <w:t>。</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339" w:type="pc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安全防范分系统调试</w:t>
            </w:r>
          </w:p>
        </w:tc>
        <w:tc>
          <w:tcPr>
            <w:tcW w:w="2941" w:type="pct"/>
            <w:tcBorders>
              <w:top w:val="nil"/>
              <w:left w:val="nil"/>
              <w:bottom w:val="single" w:color="000000" w:sz="8" w:space="0"/>
              <w:right w:val="single" w:color="000000" w:sz="8" w:space="0"/>
            </w:tcBorders>
            <w:shd w:val="clear" w:color="auto" w:fill="auto"/>
          </w:tcPr>
          <w:p>
            <w:pPr>
              <w:widowControl/>
              <w:jc w:val="left"/>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安全防范分系统调试</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系统</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四</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线缆及辅材</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nil"/>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22"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光纤</w:t>
            </w: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4芯单模，国标</w:t>
            </w:r>
          </w:p>
        </w:tc>
        <w:tc>
          <w:tcPr>
            <w:tcW w:w="446" w:type="pct"/>
            <w:tcBorders>
              <w:top w:val="nil"/>
              <w:left w:val="nil"/>
              <w:bottom w:val="nil"/>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552" w:type="pct"/>
            <w:tcBorders>
              <w:top w:val="nil"/>
              <w:left w:val="nil"/>
              <w:bottom w:val="nil"/>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17577.13</w:t>
            </w:r>
          </w:p>
        </w:tc>
      </w:tr>
      <w:tr>
        <w:tblPrEx>
          <w:tblCellMar>
            <w:top w:w="0" w:type="dxa"/>
            <w:left w:w="108" w:type="dxa"/>
            <w:bottom w:w="0" w:type="dxa"/>
            <w:right w:w="108" w:type="dxa"/>
          </w:tblCellMar>
        </w:tblPrEx>
        <w:trPr>
          <w:trHeight w:val="270" w:hRule="atLeast"/>
        </w:trPr>
        <w:tc>
          <w:tcPr>
            <w:tcW w:w="339" w:type="pct"/>
            <w:vMerge w:val="restart"/>
            <w:tcBorders>
              <w:top w:val="single" w:color="auto" w:sz="8" w:space="0"/>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722" w:type="pct"/>
            <w:vMerge w:val="restart"/>
            <w:tcBorders>
              <w:top w:val="single" w:color="auto" w:sz="8" w:space="0"/>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双绞线</w:t>
            </w:r>
          </w:p>
        </w:tc>
        <w:tc>
          <w:tcPr>
            <w:tcW w:w="2941" w:type="pct"/>
            <w:tcBorders>
              <w:top w:val="single" w:color="auto" w:sz="8" w:space="0"/>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六类非屏蔽4对</w:t>
            </w:r>
          </w:p>
        </w:tc>
        <w:tc>
          <w:tcPr>
            <w:tcW w:w="446" w:type="pct"/>
            <w:vMerge w:val="restart"/>
            <w:tcBorders>
              <w:top w:val="single" w:color="auto"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552" w:type="pct"/>
            <w:vMerge w:val="restart"/>
            <w:tcBorders>
              <w:top w:val="single" w:color="auto" w:sz="8" w:space="0"/>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63940</w:t>
            </w:r>
          </w:p>
        </w:tc>
      </w:tr>
      <w:tr>
        <w:tblPrEx>
          <w:tblCellMar>
            <w:top w:w="0" w:type="dxa"/>
            <w:left w:w="108" w:type="dxa"/>
            <w:bottom w:w="0" w:type="dxa"/>
            <w:right w:w="108" w:type="dxa"/>
          </w:tblCellMar>
        </w:tblPrEx>
        <w:trPr>
          <w:trHeight w:val="270" w:hRule="atLeast"/>
        </w:trPr>
        <w:tc>
          <w:tcPr>
            <w:tcW w:w="339" w:type="pct"/>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single" w:color="auto"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1.导体：23AWG，带宽达到250MHz；</w:t>
            </w:r>
          </w:p>
        </w:tc>
        <w:tc>
          <w:tcPr>
            <w:tcW w:w="446" w:type="pct"/>
            <w:vMerge w:val="continue"/>
            <w:tcBorders>
              <w:top w:val="single" w:color="auto"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single" w:color="auto" w:sz="8" w:space="0"/>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single" w:color="auto"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2.芯线：8根芯线采用单股软铜线，每根芯线带有彩色绝缘层；</w:t>
            </w:r>
          </w:p>
        </w:tc>
        <w:tc>
          <w:tcPr>
            <w:tcW w:w="446" w:type="pct"/>
            <w:vMerge w:val="continue"/>
            <w:tcBorders>
              <w:top w:val="single" w:color="auto"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single" w:color="auto" w:sz="8" w:space="0"/>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single" w:color="auto"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特性：符合ANSI/TIA-568-C.2、ISO/IEC 11801、EN50173-1：2001六类规范；</w:t>
            </w:r>
          </w:p>
        </w:tc>
        <w:tc>
          <w:tcPr>
            <w:tcW w:w="446" w:type="pct"/>
            <w:vMerge w:val="continue"/>
            <w:tcBorders>
              <w:top w:val="single" w:color="auto"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single" w:color="auto" w:sz="8" w:space="0"/>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single" w:color="auto"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auto"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3.护套：紧护套结构，线对间十字隔离技术，全面提升线缆性能，PVC材质,符合CM等级阻燃要求；</w:t>
            </w:r>
          </w:p>
        </w:tc>
        <w:tc>
          <w:tcPr>
            <w:tcW w:w="446" w:type="pct"/>
            <w:vMerge w:val="continue"/>
            <w:tcBorders>
              <w:top w:val="single" w:color="auto"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single" w:color="auto" w:sz="8" w:space="0"/>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电源线</w:t>
            </w:r>
          </w:p>
        </w:tc>
        <w:tc>
          <w:tcPr>
            <w:tcW w:w="294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RVV2*1.0国标</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4654</w:t>
            </w:r>
          </w:p>
        </w:tc>
      </w:tr>
      <w:tr>
        <w:tblPrEx>
          <w:tblCellMar>
            <w:top w:w="0" w:type="dxa"/>
            <w:left w:w="108" w:type="dxa"/>
            <w:bottom w:w="0" w:type="dxa"/>
            <w:right w:w="108" w:type="dxa"/>
          </w:tblCellMar>
        </w:tblPrEx>
        <w:trPr>
          <w:trHeight w:val="270" w:hRule="atLeast"/>
        </w:trPr>
        <w:tc>
          <w:tcPr>
            <w:tcW w:w="339" w:type="pct"/>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配管</w:t>
            </w:r>
          </w:p>
        </w:tc>
        <w:tc>
          <w:tcPr>
            <w:tcW w:w="294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KBG20</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5171</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配管</w:t>
            </w:r>
          </w:p>
        </w:tc>
        <w:tc>
          <w:tcPr>
            <w:tcW w:w="294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KBG 25</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641</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金属软管</w:t>
            </w:r>
          </w:p>
        </w:tc>
        <w:tc>
          <w:tcPr>
            <w:tcW w:w="294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DN20</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1051</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金属软管</w:t>
            </w:r>
          </w:p>
        </w:tc>
        <w:tc>
          <w:tcPr>
            <w:tcW w:w="294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DN25</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78</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金属软管</w:t>
            </w:r>
          </w:p>
        </w:tc>
        <w:tc>
          <w:tcPr>
            <w:tcW w:w="294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DN32</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r>
      <w:tr>
        <w:tblPrEx>
          <w:tblCellMar>
            <w:top w:w="0" w:type="dxa"/>
            <w:left w:w="108" w:type="dxa"/>
            <w:bottom w:w="0" w:type="dxa"/>
            <w:right w:w="108" w:type="dxa"/>
          </w:tblCellMar>
        </w:tblPrEx>
        <w:trPr>
          <w:trHeight w:val="270" w:hRule="atLeast"/>
        </w:trPr>
        <w:tc>
          <w:tcPr>
            <w:tcW w:w="339" w:type="pct"/>
            <w:tcBorders>
              <w:top w:val="inset" w:color="auto" w:sz="6" w:space="0"/>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22" w:type="pct"/>
            <w:tcBorders>
              <w:top w:val="inset" w:color="auto" w:sz="6" w:space="0"/>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配管</w:t>
            </w:r>
          </w:p>
        </w:tc>
        <w:tc>
          <w:tcPr>
            <w:tcW w:w="2941" w:type="pct"/>
            <w:tcBorders>
              <w:top w:val="inset" w:color="auto" w:sz="6" w:space="0"/>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埋地敷设SC32</w:t>
            </w:r>
          </w:p>
        </w:tc>
        <w:tc>
          <w:tcPr>
            <w:tcW w:w="446" w:type="pct"/>
            <w:tcBorders>
              <w:top w:val="inset" w:color="auto" w:sz="6" w:space="0"/>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552" w:type="pct"/>
            <w:tcBorders>
              <w:top w:val="inset" w:color="auto" w:sz="6" w:space="0"/>
              <w:left w:val="nil"/>
              <w:bottom w:val="single" w:color="000000" w:sz="8" w:space="0"/>
              <w:right w:val="single" w:color="auto" w:sz="8"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515.9</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室外开挖回填</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国标</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立方</w:t>
            </w:r>
          </w:p>
        </w:tc>
        <w:tc>
          <w:tcPr>
            <w:tcW w:w="552" w:type="pct"/>
            <w:tcBorders>
              <w:top w:val="nil"/>
              <w:left w:val="nil"/>
              <w:bottom w:val="single" w:color="000000" w:sz="8" w:space="0"/>
              <w:right w:val="single" w:color="auto" w:sz="8"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252.783</w:t>
            </w:r>
          </w:p>
        </w:tc>
      </w:tr>
      <w:tr>
        <w:tblPrEx>
          <w:tblCellMar>
            <w:top w:w="0" w:type="dxa"/>
            <w:left w:w="108" w:type="dxa"/>
            <w:bottom w:w="0" w:type="dxa"/>
            <w:right w:w="108" w:type="dxa"/>
          </w:tblCellMar>
        </w:tblPrEx>
        <w:trPr>
          <w:trHeight w:val="285" w:hRule="atLeast"/>
        </w:trPr>
        <w:tc>
          <w:tcPr>
            <w:tcW w:w="339" w:type="pc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室外弱电手井</w:t>
            </w:r>
          </w:p>
        </w:tc>
        <w:tc>
          <w:tcPr>
            <w:tcW w:w="2941" w:type="pct"/>
            <w:tcBorders>
              <w:top w:val="nil"/>
              <w:left w:val="nil"/>
              <w:bottom w:val="single" w:color="000000" w:sz="8" w:space="0"/>
              <w:right w:val="single" w:color="000000" w:sz="8" w:space="0"/>
            </w:tcBorders>
            <w:shd w:val="clear" w:color="auto" w:fill="auto"/>
            <w:vAlign w:val="center"/>
          </w:tcPr>
          <w:p>
            <w:pPr>
              <w:widowControl/>
              <w:rPr>
                <w:rFonts w:ascii="宋体" w:hAnsi="宋体" w:eastAsia="宋体" w:cs="宋体"/>
                <w:kern w:val="0"/>
                <w:sz w:val="24"/>
                <w:szCs w:val="24"/>
              </w:rPr>
            </w:pPr>
            <w:r>
              <w:rPr>
                <w:rFonts w:ascii="宋体" w:hAnsi="宋体" w:eastAsia="宋体" w:cs="宋体"/>
                <w:kern w:val="0"/>
                <w:sz w:val="24"/>
                <w:szCs w:val="24"/>
              </w:rPr>
              <w:t>600*500*700</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552" w:type="pct"/>
            <w:tcBorders>
              <w:top w:val="nil"/>
              <w:left w:val="nil"/>
              <w:bottom w:val="single" w:color="000000" w:sz="8" w:space="0"/>
              <w:right w:val="single" w:color="auto" w:sz="8"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室外路面破坏修复</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国标</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w:t>
            </w:r>
          </w:p>
        </w:tc>
        <w:tc>
          <w:tcPr>
            <w:tcW w:w="552" w:type="pct"/>
            <w:tcBorders>
              <w:top w:val="nil"/>
              <w:left w:val="nil"/>
              <w:bottom w:val="single" w:color="000000" w:sz="8" w:space="0"/>
              <w:right w:val="single" w:color="auto" w:sz="8"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nil"/>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五</w:t>
            </w:r>
          </w:p>
        </w:tc>
        <w:tc>
          <w:tcPr>
            <w:tcW w:w="722"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室外背景音乐</w:t>
            </w: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46" w:type="pct"/>
            <w:tcBorders>
              <w:top w:val="nil"/>
              <w:left w:val="nil"/>
              <w:bottom w:val="nil"/>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52" w:type="pct"/>
            <w:tcBorders>
              <w:top w:val="nil"/>
              <w:left w:val="nil"/>
              <w:bottom w:val="nil"/>
              <w:right w:val="single" w:color="auto" w:sz="8"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70" w:hRule="atLeast"/>
        </w:trPr>
        <w:tc>
          <w:tcPr>
            <w:tcW w:w="339" w:type="pct"/>
            <w:vMerge w:val="restart"/>
            <w:tcBorders>
              <w:top w:val="single" w:color="auto" w:sz="8" w:space="0"/>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22" w:type="pct"/>
            <w:vMerge w:val="restart"/>
            <w:tcBorders>
              <w:top w:val="single" w:color="auto" w:sz="8" w:space="0"/>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前置放大器</w:t>
            </w:r>
          </w:p>
        </w:tc>
        <w:tc>
          <w:tcPr>
            <w:tcW w:w="2941" w:type="pct"/>
            <w:tcBorders>
              <w:top w:val="single" w:color="auto" w:sz="8" w:space="0"/>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1.具有5路话筒（MIC）输入，3路标准信号线路（AUX）输入，2路紧急线路（EMC）输入；</w:t>
            </w:r>
          </w:p>
        </w:tc>
        <w:tc>
          <w:tcPr>
            <w:tcW w:w="446" w:type="pct"/>
            <w:vMerge w:val="restart"/>
            <w:tcBorders>
              <w:top w:val="single" w:color="auto"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552" w:type="pct"/>
            <w:vMerge w:val="restart"/>
            <w:tcBorders>
              <w:top w:val="single" w:color="auto" w:sz="8" w:space="0"/>
              <w:left w:val="single" w:color="000000" w:sz="8" w:space="0"/>
              <w:bottom w:val="single" w:color="000000" w:sz="8" w:space="0"/>
              <w:right w:val="single" w:color="auto" w:sz="8"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tblPrEx>
          <w:tblCellMar>
            <w:top w:w="0" w:type="dxa"/>
            <w:left w:w="108" w:type="dxa"/>
            <w:bottom w:w="0" w:type="dxa"/>
            <w:right w:w="108" w:type="dxa"/>
          </w:tblCellMar>
        </w:tblPrEx>
        <w:trPr>
          <w:trHeight w:val="270" w:hRule="atLeast"/>
        </w:trPr>
        <w:tc>
          <w:tcPr>
            <w:tcW w:w="339" w:type="pct"/>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single" w:color="auto"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2.第5个话筒（MIC5）具有最高优先、强行切入优先功能；MIC5和EMC最高优先权限功能可通过拔动开关交替选择；</w:t>
            </w:r>
          </w:p>
        </w:tc>
        <w:tc>
          <w:tcPr>
            <w:tcW w:w="446" w:type="pct"/>
            <w:vMerge w:val="continue"/>
            <w:tcBorders>
              <w:top w:val="single" w:color="auto"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single" w:color="auto" w:sz="8" w:space="0"/>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single" w:color="auto"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3.4路紧急输入线路具有二级优先，强行切入优先功能；</w:t>
            </w:r>
          </w:p>
        </w:tc>
        <w:tc>
          <w:tcPr>
            <w:tcW w:w="446" w:type="pct"/>
            <w:vMerge w:val="continue"/>
            <w:tcBorders>
              <w:top w:val="single" w:color="auto"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single" w:color="auto" w:sz="8" w:space="0"/>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single" w:color="auto"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auto"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4.MIC1.2.3.4.5 和2路紧急输入（EMC）通道均附设有线路辅助输入接口功能；</w:t>
            </w:r>
          </w:p>
        </w:tc>
        <w:tc>
          <w:tcPr>
            <w:tcW w:w="446" w:type="pct"/>
            <w:vMerge w:val="continue"/>
            <w:tcBorders>
              <w:top w:val="single" w:color="auto"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single" w:color="auto" w:sz="8" w:space="0"/>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722"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纯后级功放</w:t>
            </w: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1.1通道LINE不平衡TRS输入，1通道LINE不平衡TRS级联输出；</w:t>
            </w:r>
          </w:p>
        </w:tc>
        <w:tc>
          <w:tcPr>
            <w:tcW w:w="446" w:type="pct"/>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552" w:type="pct"/>
            <w:vMerge w:val="restart"/>
            <w:tcBorders>
              <w:top w:val="nil"/>
              <w:left w:val="single" w:color="000000" w:sz="8" w:space="0"/>
              <w:bottom w:val="single" w:color="000000" w:sz="8" w:space="0"/>
              <w:right w:val="single" w:color="auto" w:sz="8"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2.1通道LINE平衡×LR输入，1通道LINE平衡×LR级联输出；</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3.面板带音量调节旋钮；</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4.额定输出功率：1500W</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5.具有短路、过载保护装置</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22"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室外壁挂音柱</w:t>
            </w: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1．额定功率（100V）：22.5W,45W</w:t>
            </w:r>
          </w:p>
        </w:tc>
        <w:tc>
          <w:tcPr>
            <w:tcW w:w="446" w:type="pct"/>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552" w:type="pct"/>
            <w:vMerge w:val="restart"/>
            <w:tcBorders>
              <w:top w:val="nil"/>
              <w:left w:val="single" w:color="000000" w:sz="8" w:space="0"/>
              <w:bottom w:val="single" w:color="000000" w:sz="8" w:space="0"/>
              <w:right w:val="single" w:color="auto" w:sz="8"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2．额定功率（70V）：11.2W,22.5W</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3．灵敏度：91dB±3dB</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4．阻抗：黑:Com白:440Ω绿:220Ω</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5．频率响应：50-18KHz</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7．防护等级：IP66</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auto"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22" w:type="pct"/>
            <w:tcBorders>
              <w:top w:val="nil"/>
              <w:left w:val="nil"/>
              <w:bottom w:val="single" w:color="auto"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音箱线</w:t>
            </w:r>
          </w:p>
        </w:tc>
        <w:tc>
          <w:tcPr>
            <w:tcW w:w="2941" w:type="pct"/>
            <w:tcBorders>
              <w:top w:val="nil"/>
              <w:left w:val="nil"/>
              <w:bottom w:val="single" w:color="auto"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RVV2*4.0</w:t>
            </w:r>
          </w:p>
        </w:tc>
        <w:tc>
          <w:tcPr>
            <w:tcW w:w="446" w:type="pct"/>
            <w:tcBorders>
              <w:top w:val="nil"/>
              <w:left w:val="nil"/>
              <w:bottom w:val="single" w:color="auto"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552" w:type="pct"/>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1665</w:t>
            </w:r>
          </w:p>
        </w:tc>
      </w:tr>
      <w:tr>
        <w:tblPrEx>
          <w:tblCellMar>
            <w:top w:w="0" w:type="dxa"/>
            <w:left w:w="108" w:type="dxa"/>
            <w:bottom w:w="0" w:type="dxa"/>
            <w:right w:w="108" w:type="dxa"/>
          </w:tblCellMar>
        </w:tblPrEx>
        <w:trPr>
          <w:trHeight w:val="270" w:hRule="atLeast"/>
        </w:trPr>
        <w:tc>
          <w:tcPr>
            <w:tcW w:w="339" w:type="pct"/>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722" w:type="pct"/>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2941" w:type="pct"/>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446" w:type="pct"/>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552" w:type="pct"/>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722" w:type="pct"/>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2941" w:type="pct"/>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446" w:type="pct"/>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552" w:type="pct"/>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1061" w:type="pct"/>
            <w:gridSpan w:val="2"/>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b/>
                <w:bCs/>
                <w:color w:val="000000" w:themeColor="text1"/>
                <w:kern w:val="0"/>
                <w:sz w:val="24"/>
                <w:szCs w:val="24"/>
              </w:rPr>
              <w:t>（</w:t>
            </w:r>
            <w:r>
              <w:rPr>
                <w:rFonts w:ascii="宋体" w:hAnsi="宋体" w:eastAsia="宋体" w:cs="宋体"/>
                <w:b/>
                <w:bCs/>
                <w:color w:val="000000" w:themeColor="text1"/>
                <w:kern w:val="0"/>
                <w:sz w:val="24"/>
                <w:szCs w:val="24"/>
              </w:rPr>
              <w:t>二</w:t>
            </w:r>
            <w:r>
              <w:rPr>
                <w:rFonts w:hint="eastAsia" w:ascii="宋体" w:hAnsi="宋体" w:eastAsia="宋体" w:cs="宋体"/>
                <w:b/>
                <w:bCs/>
                <w:color w:val="000000" w:themeColor="text1"/>
                <w:kern w:val="0"/>
                <w:sz w:val="24"/>
                <w:szCs w:val="24"/>
              </w:rPr>
              <w:t>）</w:t>
            </w:r>
            <w:r>
              <w:rPr>
                <w:rFonts w:ascii="宋体" w:hAnsi="宋体" w:eastAsia="宋体" w:cs="宋体"/>
                <w:b/>
                <w:bCs/>
                <w:color w:val="000000" w:themeColor="text1"/>
                <w:kern w:val="0"/>
                <w:sz w:val="24"/>
                <w:szCs w:val="24"/>
              </w:rPr>
              <w:t>、</w:t>
            </w:r>
            <w:r>
              <w:rPr>
                <w:rFonts w:hint="eastAsia" w:ascii="宋体" w:hAnsi="宋体" w:eastAsia="宋体" w:cs="宋体"/>
                <w:b/>
                <w:bCs/>
                <w:color w:val="000000" w:themeColor="text1"/>
                <w:kern w:val="0"/>
                <w:sz w:val="24"/>
                <w:szCs w:val="24"/>
              </w:rPr>
              <w:t>机房工程</w:t>
            </w:r>
          </w:p>
        </w:tc>
        <w:tc>
          <w:tcPr>
            <w:tcW w:w="2941" w:type="pct"/>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446" w:type="pct"/>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552" w:type="pct"/>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tcBorders>
              <w:top w:val="single" w:color="auto" w:sz="8" w:space="0"/>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722" w:type="pct"/>
            <w:tcBorders>
              <w:top w:val="single" w:color="auto" w:sz="8" w:space="0"/>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设备名称</w:t>
            </w:r>
          </w:p>
        </w:tc>
        <w:tc>
          <w:tcPr>
            <w:tcW w:w="2941" w:type="pct"/>
            <w:tcBorders>
              <w:top w:val="single" w:color="auto" w:sz="8" w:space="0"/>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主要设备技术参数</w:t>
            </w:r>
          </w:p>
        </w:tc>
        <w:tc>
          <w:tcPr>
            <w:tcW w:w="446" w:type="pct"/>
            <w:tcBorders>
              <w:top w:val="single" w:color="auto" w:sz="8" w:space="0"/>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单位</w:t>
            </w:r>
          </w:p>
        </w:tc>
        <w:tc>
          <w:tcPr>
            <w:tcW w:w="552" w:type="pct"/>
            <w:tcBorders>
              <w:top w:val="single" w:color="auto" w:sz="8" w:space="0"/>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数量</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一</w:t>
            </w:r>
          </w:p>
        </w:tc>
        <w:tc>
          <w:tcPr>
            <w:tcW w:w="722" w:type="pct"/>
            <w:tcBorders>
              <w:top w:val="nil"/>
              <w:left w:val="nil"/>
              <w:bottom w:val="single" w:color="000000" w:sz="8" w:space="0"/>
              <w:right w:val="single" w:color="000000" w:sz="8" w:space="0"/>
            </w:tcBorders>
            <w:shd w:val="clear" w:color="auto" w:fill="auto"/>
            <w:noWrap/>
            <w:vAlign w:val="center"/>
          </w:tcPr>
          <w:p>
            <w:pPr>
              <w:widowControl/>
              <w:jc w:val="left"/>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吊顶</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针孔烤漆铝板天棚</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600X600X0.8mm</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平方米</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184</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2</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吊顶轻钢龙骨架</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吊顶轻钢龙骨架</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平方米</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184</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3</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吊顶防尘漆处理</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吊顶防尘漆处理</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平方米</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184</w:t>
            </w:r>
          </w:p>
        </w:tc>
      </w:tr>
      <w:tr>
        <w:tblPrEx>
          <w:tblCellMar>
            <w:top w:w="0" w:type="dxa"/>
            <w:left w:w="108" w:type="dxa"/>
            <w:bottom w:w="0" w:type="dxa"/>
            <w:right w:w="108" w:type="dxa"/>
          </w:tblCellMar>
        </w:tblPrEx>
        <w:trPr>
          <w:trHeight w:val="48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4</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吊顶不锈钢角线收边</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高</w:t>
            </w:r>
            <w:r>
              <w:rPr>
                <w:rFonts w:ascii="宋体" w:hAnsi="宋体" w:eastAsia="宋体" w:cs="宋体"/>
                <w:kern w:val="0"/>
                <w:sz w:val="24"/>
                <w:szCs w:val="24"/>
              </w:rPr>
              <w:t>5cm,</w:t>
            </w:r>
            <w:r>
              <w:rPr>
                <w:rFonts w:hint="eastAsia" w:ascii="宋体" w:hAnsi="宋体" w:eastAsia="宋体" w:cs="宋体"/>
                <w:kern w:val="0"/>
                <w:sz w:val="24"/>
                <w:szCs w:val="24"/>
              </w:rPr>
              <w:t>厚</w:t>
            </w:r>
            <w:r>
              <w:rPr>
                <w:rFonts w:ascii="宋体" w:hAnsi="宋体" w:eastAsia="宋体" w:cs="宋体"/>
                <w:kern w:val="0"/>
                <w:sz w:val="24"/>
                <w:szCs w:val="24"/>
              </w:rPr>
              <w:t>1mm</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52</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二</w:t>
            </w:r>
          </w:p>
        </w:tc>
        <w:tc>
          <w:tcPr>
            <w:tcW w:w="722" w:type="pct"/>
            <w:tcBorders>
              <w:top w:val="nil"/>
              <w:left w:val="nil"/>
              <w:bottom w:val="single" w:color="000000" w:sz="8" w:space="0"/>
              <w:right w:val="single" w:color="000000" w:sz="8" w:space="0"/>
            </w:tcBorders>
            <w:shd w:val="clear" w:color="auto" w:fill="auto"/>
            <w:noWrap/>
            <w:vAlign w:val="center"/>
          </w:tcPr>
          <w:p>
            <w:pPr>
              <w:widowControl/>
              <w:jc w:val="left"/>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地板</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　</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　</w:t>
            </w:r>
          </w:p>
        </w:tc>
      </w:tr>
      <w:tr>
        <w:tblPrEx>
          <w:tblCellMar>
            <w:top w:w="0" w:type="dxa"/>
            <w:left w:w="108" w:type="dxa"/>
            <w:bottom w:w="0" w:type="dxa"/>
            <w:right w:w="108" w:type="dxa"/>
          </w:tblCellMar>
        </w:tblPrEx>
        <w:trPr>
          <w:trHeight w:val="270" w:hRule="atLeast"/>
        </w:trPr>
        <w:tc>
          <w:tcPr>
            <w:tcW w:w="339" w:type="pct"/>
            <w:vMerge w:val="restar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722"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抗静电地板</w:t>
            </w: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．产品规格：</w:t>
            </w:r>
            <w:r>
              <w:rPr>
                <w:rFonts w:ascii="宋体" w:hAnsi="宋体" w:eastAsia="宋体" w:cs="宋体"/>
                <w:kern w:val="0"/>
                <w:sz w:val="24"/>
                <w:szCs w:val="24"/>
              </w:rPr>
              <w:t>600</w:t>
            </w:r>
            <w:r>
              <w:rPr>
                <w:rFonts w:hint="eastAsia" w:ascii="宋体" w:hAnsi="宋体" w:eastAsia="宋体" w:cs="宋体"/>
                <w:kern w:val="0"/>
                <w:sz w:val="24"/>
                <w:szCs w:val="24"/>
              </w:rPr>
              <w:t>×</w:t>
            </w:r>
            <w:r>
              <w:rPr>
                <w:rFonts w:ascii="宋体" w:hAnsi="宋体" w:eastAsia="宋体" w:cs="宋体"/>
                <w:kern w:val="0"/>
                <w:sz w:val="24"/>
                <w:szCs w:val="24"/>
              </w:rPr>
              <w:t>600</w:t>
            </w:r>
            <w:r>
              <w:rPr>
                <w:rFonts w:hint="eastAsia" w:ascii="宋体" w:hAnsi="宋体" w:eastAsia="宋体" w:cs="宋体"/>
                <w:kern w:val="0"/>
                <w:sz w:val="24"/>
                <w:szCs w:val="24"/>
              </w:rPr>
              <w:t>×</w:t>
            </w:r>
            <w:r>
              <w:rPr>
                <w:rFonts w:ascii="宋体" w:hAnsi="宋体" w:eastAsia="宋体" w:cs="宋体"/>
                <w:kern w:val="0"/>
                <w:sz w:val="24"/>
                <w:szCs w:val="24"/>
              </w:rPr>
              <w:t xml:space="preserve">35mm </w:t>
            </w:r>
          </w:p>
        </w:tc>
        <w:tc>
          <w:tcPr>
            <w:tcW w:w="446" w:type="pct"/>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平方米</w:t>
            </w:r>
          </w:p>
        </w:tc>
        <w:tc>
          <w:tcPr>
            <w:tcW w:w="552" w:type="pct"/>
            <w:vMerge w:val="restart"/>
            <w:tcBorders>
              <w:top w:val="nil"/>
              <w:left w:val="single" w:color="000000" w:sz="8" w:space="0"/>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184</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集中荷载：≥</w:t>
            </w:r>
            <w:r>
              <w:rPr>
                <w:rFonts w:ascii="宋体" w:hAnsi="宋体" w:eastAsia="宋体" w:cs="宋体"/>
                <w:kern w:val="0"/>
                <w:sz w:val="24"/>
                <w:szCs w:val="24"/>
              </w:rPr>
              <w:t xml:space="preserve">3560N     </w:t>
            </w:r>
            <w:r>
              <w:rPr>
                <w:rFonts w:hint="eastAsia" w:ascii="宋体" w:hAnsi="宋体" w:eastAsia="宋体" w:cs="宋体"/>
                <w:kern w:val="0"/>
                <w:sz w:val="24"/>
                <w:szCs w:val="24"/>
              </w:rPr>
              <w:t>（挠度≤</w:t>
            </w:r>
            <w:r>
              <w:rPr>
                <w:rFonts w:ascii="宋体" w:hAnsi="宋体" w:eastAsia="宋体" w:cs="宋体"/>
                <w:kern w:val="0"/>
                <w:sz w:val="24"/>
                <w:szCs w:val="24"/>
              </w:rPr>
              <w:t>2mm</w:t>
            </w:r>
            <w:r>
              <w:rPr>
                <w:rFonts w:hint="eastAsia" w:ascii="宋体" w:hAnsi="宋体" w:eastAsia="宋体" w:cs="宋体"/>
                <w:kern w:val="0"/>
                <w:sz w:val="24"/>
                <w:szCs w:val="24"/>
              </w:rPr>
              <w:t>，永久变形≤</w:t>
            </w:r>
            <w:r>
              <w:rPr>
                <w:rFonts w:ascii="宋体" w:hAnsi="宋体" w:eastAsia="宋体" w:cs="宋体"/>
                <w:kern w:val="0"/>
                <w:sz w:val="24"/>
                <w:szCs w:val="24"/>
              </w:rPr>
              <w:t>0.25mm</w:t>
            </w:r>
            <w:r>
              <w:rPr>
                <w:rFonts w:hint="eastAsia" w:ascii="宋体" w:hAnsi="宋体" w:eastAsia="宋体" w:cs="宋体"/>
                <w:kern w:val="0"/>
                <w:sz w:val="24"/>
                <w:szCs w:val="24"/>
              </w:rPr>
              <w:t>）</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极限荷载：≥</w:t>
            </w:r>
            <w:r>
              <w:rPr>
                <w:rFonts w:ascii="宋体" w:hAnsi="宋体" w:eastAsia="宋体" w:cs="宋体"/>
                <w:kern w:val="0"/>
                <w:sz w:val="24"/>
                <w:szCs w:val="24"/>
              </w:rPr>
              <w:t>10680N</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4.</w:t>
            </w:r>
            <w:r>
              <w:rPr>
                <w:rFonts w:hint="eastAsia" w:ascii="宋体" w:hAnsi="宋体" w:eastAsia="宋体" w:cs="宋体"/>
                <w:kern w:val="0"/>
                <w:sz w:val="24"/>
                <w:szCs w:val="24"/>
              </w:rPr>
              <w:t>均布载荷：≥</w:t>
            </w:r>
            <w:r>
              <w:rPr>
                <w:rFonts w:ascii="宋体" w:hAnsi="宋体" w:eastAsia="宋体" w:cs="宋体"/>
                <w:kern w:val="0"/>
                <w:sz w:val="24"/>
                <w:szCs w:val="24"/>
              </w:rPr>
              <w:t>17500N/m2  </w:t>
            </w:r>
            <w:r>
              <w:rPr>
                <w:rFonts w:hint="eastAsia" w:ascii="宋体" w:hAnsi="宋体" w:eastAsia="宋体" w:cs="宋体"/>
                <w:kern w:val="0"/>
                <w:sz w:val="24"/>
                <w:szCs w:val="24"/>
              </w:rPr>
              <w:t>（挠度≤</w:t>
            </w:r>
            <w:r>
              <w:rPr>
                <w:rFonts w:ascii="宋体" w:hAnsi="宋体" w:eastAsia="宋体" w:cs="宋体"/>
                <w:kern w:val="0"/>
                <w:sz w:val="24"/>
                <w:szCs w:val="24"/>
              </w:rPr>
              <w:t>2mm</w:t>
            </w:r>
            <w:r>
              <w:rPr>
                <w:rFonts w:hint="eastAsia" w:ascii="宋体" w:hAnsi="宋体" w:eastAsia="宋体" w:cs="宋体"/>
                <w:kern w:val="0"/>
                <w:sz w:val="24"/>
                <w:szCs w:val="24"/>
              </w:rPr>
              <w:t>）</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冲击荷载：试验区不能有任何塌陷，地板永久变形≤</w:t>
            </w:r>
            <w:r>
              <w:rPr>
                <w:rFonts w:ascii="宋体" w:hAnsi="宋体" w:eastAsia="宋体" w:cs="宋体"/>
                <w:kern w:val="0"/>
                <w:sz w:val="24"/>
                <w:szCs w:val="24"/>
              </w:rPr>
              <w:t>1.5mm</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rPr>
              <w:t>防火可达燃烧性能等级</w:t>
            </w:r>
            <w:r>
              <w:rPr>
                <w:rFonts w:ascii="宋体" w:hAnsi="宋体" w:eastAsia="宋体" w:cs="宋体"/>
                <w:kern w:val="0"/>
                <w:sz w:val="24"/>
                <w:szCs w:val="24"/>
              </w:rPr>
              <w:t>A</w:t>
            </w:r>
            <w:r>
              <w:rPr>
                <w:rFonts w:hint="eastAsia" w:ascii="宋体" w:hAnsi="宋体" w:eastAsia="宋体" w:cs="宋体"/>
                <w:kern w:val="0"/>
                <w:sz w:val="24"/>
                <w:szCs w:val="24"/>
              </w:rPr>
              <w:t>级。</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7.</w:t>
            </w:r>
            <w:r>
              <w:rPr>
                <w:rFonts w:hint="eastAsia" w:ascii="宋体" w:hAnsi="宋体" w:eastAsia="宋体" w:cs="宋体"/>
                <w:kern w:val="0"/>
                <w:sz w:val="24"/>
                <w:szCs w:val="24"/>
              </w:rPr>
              <w:t>地板贴面：</w:t>
            </w:r>
            <w:r>
              <w:rPr>
                <w:rFonts w:ascii="宋体" w:hAnsi="宋体" w:eastAsia="宋体" w:cs="宋体"/>
                <w:kern w:val="0"/>
                <w:sz w:val="24"/>
                <w:szCs w:val="24"/>
              </w:rPr>
              <w:t>1.2mmHPL</w:t>
            </w:r>
            <w:r>
              <w:rPr>
                <w:rFonts w:hint="eastAsia" w:ascii="宋体" w:hAnsi="宋体" w:eastAsia="宋体" w:cs="宋体"/>
                <w:kern w:val="0"/>
                <w:sz w:val="24"/>
                <w:szCs w:val="24"/>
              </w:rPr>
              <w:t>贴面，耐磨转数≥</w:t>
            </w:r>
            <w:r>
              <w:rPr>
                <w:rFonts w:ascii="宋体" w:hAnsi="宋体" w:eastAsia="宋体" w:cs="宋体"/>
                <w:kern w:val="0"/>
                <w:sz w:val="24"/>
                <w:szCs w:val="24"/>
              </w:rPr>
              <w:t>2000r</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79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8.HPL</w:t>
            </w:r>
            <w:r>
              <w:rPr>
                <w:rFonts w:hint="eastAsia" w:ascii="宋体" w:hAnsi="宋体" w:eastAsia="宋体" w:cs="宋体"/>
                <w:kern w:val="0"/>
                <w:sz w:val="24"/>
                <w:szCs w:val="24"/>
              </w:rPr>
              <w:t>全钢防静电地板采用全钢结构，接写强度高、承载能力强、耐冲击性能好；具有优质抗静电性能，地板系统性能稳定可靠；表面粘贴材料抗静电、耐磨、防水、防火、防尘、放腐蚀；尺寸精度高、互换性好、组装灵活、方便、使用寿命长</w:t>
            </w:r>
            <w:r>
              <w:rPr>
                <w:rFonts w:ascii="宋体" w:hAnsi="宋体" w:eastAsia="宋体" w:cs="宋体"/>
                <w:kern w:val="0"/>
                <w:sz w:val="24"/>
                <w:szCs w:val="24"/>
              </w:rPr>
              <w:t>.</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2</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地面防尘漆</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果绿色底漆</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平方米</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184</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3</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静电地板开孔</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150*150mm</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100</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4</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不锈钢开口收边</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不锈钢开口收边</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100</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5</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不锈钢踢脚线</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不锈钢踢脚线</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75</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6</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机房斜坡制作</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1.5mm</w:t>
            </w:r>
            <w:r>
              <w:rPr>
                <w:rFonts w:hint="eastAsia" w:ascii="宋体" w:hAnsi="宋体" w:eastAsia="宋体" w:cs="宋体"/>
                <w:kern w:val="0"/>
                <w:sz w:val="24"/>
                <w:szCs w:val="24"/>
              </w:rPr>
              <w:t>防滑铝板</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2</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三</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门窗工程</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　</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　</w:t>
            </w:r>
          </w:p>
        </w:tc>
      </w:tr>
      <w:tr>
        <w:tblPrEx>
          <w:tblCellMar>
            <w:top w:w="0" w:type="dxa"/>
            <w:left w:w="108" w:type="dxa"/>
            <w:bottom w:w="0" w:type="dxa"/>
            <w:right w:w="108" w:type="dxa"/>
          </w:tblCellMar>
        </w:tblPrEx>
        <w:trPr>
          <w:trHeight w:val="51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甲级钢质防火门（双开）</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国标</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扇</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2</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2</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闭门器</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国标</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4</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四</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墙面工程</w:t>
            </w:r>
          </w:p>
        </w:tc>
        <w:tc>
          <w:tcPr>
            <w:tcW w:w="2941" w:type="pct"/>
            <w:tcBorders>
              <w:top w:val="nil"/>
              <w:left w:val="nil"/>
              <w:bottom w:val="single" w:color="000000" w:sz="8" w:space="0"/>
              <w:right w:val="single" w:color="000000" w:sz="8" w:space="0"/>
            </w:tcBorders>
            <w:shd w:val="clear" w:color="auto" w:fill="auto"/>
            <w:noWrap/>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　</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　</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墙面水泥漆</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墙面水泥漆</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平方米</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736</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2</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拆除墙体</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平方米</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49.8</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3</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新砌墙体</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平方米</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101.4</w:t>
            </w:r>
          </w:p>
        </w:tc>
      </w:tr>
      <w:tr>
        <w:tblPrEx>
          <w:tblCellMar>
            <w:top w:w="0" w:type="dxa"/>
            <w:left w:w="108" w:type="dxa"/>
            <w:bottom w:w="0" w:type="dxa"/>
            <w:right w:w="108" w:type="dxa"/>
          </w:tblCellMar>
        </w:tblPrEx>
        <w:trPr>
          <w:trHeight w:val="51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五</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消控室电气工程机UPS系统</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　</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　</w:t>
            </w:r>
          </w:p>
        </w:tc>
      </w:tr>
      <w:tr>
        <w:tblPrEx>
          <w:tblCellMar>
            <w:top w:w="0" w:type="dxa"/>
            <w:left w:w="108" w:type="dxa"/>
            <w:bottom w:w="0" w:type="dxa"/>
            <w:right w:w="108" w:type="dxa"/>
          </w:tblCellMar>
        </w:tblPrEx>
        <w:trPr>
          <w:trHeight w:val="270" w:hRule="atLeast"/>
        </w:trPr>
        <w:tc>
          <w:tcPr>
            <w:tcW w:w="339" w:type="pct"/>
            <w:vMerge w:val="restar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722"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xml:space="preserve">40KVA </w:t>
            </w:r>
            <w:r>
              <w:rPr>
                <w:rFonts w:hint="eastAsia" w:ascii="宋体" w:hAnsi="宋体" w:eastAsia="宋体" w:cs="宋体"/>
                <w:kern w:val="0"/>
                <w:sz w:val="24"/>
                <w:szCs w:val="24"/>
              </w:rPr>
              <w:t>三进三出</w:t>
            </w:r>
            <w:r>
              <w:rPr>
                <w:rFonts w:ascii="宋体" w:hAnsi="宋体" w:eastAsia="宋体" w:cs="宋体"/>
                <w:kern w:val="0"/>
                <w:sz w:val="24"/>
                <w:szCs w:val="24"/>
              </w:rPr>
              <w:t>UPS</w:t>
            </w:r>
          </w:p>
        </w:tc>
        <w:tc>
          <w:tcPr>
            <w:tcW w:w="2941" w:type="pct"/>
            <w:tcBorders>
              <w:top w:val="nil"/>
              <w:left w:val="nil"/>
              <w:bottom w:val="nil"/>
              <w:right w:val="single" w:color="000000" w:sz="8" w:space="0"/>
            </w:tcBorders>
            <w:shd w:val="clear" w:color="auto" w:fill="auto"/>
            <w:vAlign w:val="center"/>
          </w:tcPr>
          <w:p>
            <w:pPr>
              <w:widowControl/>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 xml:space="preserve">   </w:t>
            </w:r>
            <w:r>
              <w:rPr>
                <w:rFonts w:hint="eastAsia" w:ascii="宋体" w:hAnsi="宋体" w:eastAsia="宋体" w:cs="宋体"/>
                <w:kern w:val="0"/>
                <w:sz w:val="24"/>
                <w:szCs w:val="24"/>
              </w:rPr>
              <w:t>主机功率≧40KVA,双变换在线式，三进三出。</w:t>
            </w:r>
          </w:p>
        </w:tc>
        <w:tc>
          <w:tcPr>
            <w:tcW w:w="446" w:type="pct"/>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552" w:type="pct"/>
            <w:vMerge w:val="restart"/>
            <w:tcBorders>
              <w:top w:val="nil"/>
              <w:left w:val="single" w:color="000000" w:sz="8" w:space="0"/>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r>
      <w:tr>
        <w:tblPrEx>
          <w:tblCellMar>
            <w:top w:w="0" w:type="dxa"/>
            <w:left w:w="108" w:type="dxa"/>
            <w:bottom w:w="0" w:type="dxa"/>
            <w:right w:w="108" w:type="dxa"/>
          </w:tblCellMar>
        </w:tblPrEx>
        <w:trPr>
          <w:trHeight w:val="52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 xml:space="preserve">   </w:t>
            </w:r>
            <w:r>
              <w:rPr>
                <w:rFonts w:hint="eastAsia" w:ascii="宋体" w:hAnsi="宋体" w:eastAsia="宋体" w:cs="宋体"/>
                <w:kern w:val="0"/>
                <w:sz w:val="24"/>
                <w:szCs w:val="24"/>
              </w:rPr>
              <w:t>输入额定电压：380Vac，输入电压范围为190Vac -520 Vac，输入频率范围为：46Hz-54Hz，输入功率因数： &gt;0.99(满载时)。</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2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 xml:space="preserve">   </w:t>
            </w:r>
            <w:r>
              <w:rPr>
                <w:rFonts w:hint="eastAsia" w:ascii="宋体" w:hAnsi="宋体" w:eastAsia="宋体" w:cs="宋体"/>
                <w:kern w:val="0"/>
                <w:sz w:val="24"/>
                <w:szCs w:val="24"/>
              </w:rPr>
              <w:t>大尺寸LED+LCD蓝底彩色液晶显示屏，具有输入、输出信息（电压、负载、频率、功率因数）具有历史记录可查功能，可记录事件信息及告警信息。</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 xml:space="preserve">   </w:t>
            </w:r>
            <w:r>
              <w:rPr>
                <w:rFonts w:hint="eastAsia" w:ascii="宋体" w:hAnsi="宋体" w:eastAsia="宋体" w:cs="宋体"/>
                <w:kern w:val="0"/>
                <w:sz w:val="24"/>
                <w:szCs w:val="24"/>
              </w:rPr>
              <w:t>设备主机具有多工作模式逆变，保障系统安全可靠运行，。</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2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5)</w:t>
            </w:r>
            <w:r>
              <w:rPr>
                <w:rFonts w:ascii="宋体" w:hAnsi="宋体" w:eastAsia="宋体" w:cs="宋体"/>
                <w:kern w:val="0"/>
                <w:sz w:val="24"/>
                <w:szCs w:val="24"/>
              </w:rPr>
              <w:t xml:space="preserve">   </w:t>
            </w:r>
            <w:r>
              <w:rPr>
                <w:rFonts w:hint="eastAsia" w:ascii="宋体" w:hAnsi="宋体" w:eastAsia="宋体" w:cs="宋体"/>
                <w:kern w:val="0"/>
                <w:sz w:val="24"/>
                <w:szCs w:val="24"/>
              </w:rPr>
              <w:t>采用高速DSP数字信号处理器，速度快，精度高；全数字化控制，提高控制的可靠性、灵活性、安全性和稳定性，可多台UPS并联冗余。</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765"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000000" w:fill="FFFFFF"/>
            <w:vAlign w:val="center"/>
          </w:tcPr>
          <w:p>
            <w:pPr>
              <w:widowControl/>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6)输出功率因素：输出有功功率应 ≥额定容量×0.9 kW/kVA即输出PF≥0.9，输出端可带更多负载。</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auto" w:fill="auto"/>
            <w:vAlign w:val="center"/>
          </w:tcPr>
          <w:p>
            <w:pPr>
              <w:widowControl/>
              <w:ind w:firstLine="240" w:firstLineChars="100"/>
              <w:jc w:val="left"/>
              <w:rPr>
                <w:rFonts w:ascii="宋体" w:hAnsi="宋体" w:eastAsia="宋体" w:cs="宋体"/>
                <w:kern w:val="0"/>
                <w:sz w:val="24"/>
                <w:szCs w:val="24"/>
              </w:rPr>
            </w:pPr>
            <w:r>
              <w:rPr>
                <w:rFonts w:ascii="宋体" w:hAnsi="宋体" w:eastAsia="宋体" w:cs="宋体"/>
                <w:kern w:val="0"/>
                <w:sz w:val="24"/>
                <w:szCs w:val="24"/>
              </w:rPr>
              <w:t>7</w:t>
            </w:r>
            <w:r>
              <w:rPr>
                <w:rFonts w:hint="eastAsia" w:ascii="宋体" w:hAnsi="宋体" w:eastAsia="宋体" w:cs="宋体"/>
                <w:kern w:val="0"/>
                <w:sz w:val="24"/>
                <w:szCs w:val="24"/>
              </w:rPr>
              <w:t>)</w:t>
            </w:r>
            <w:r>
              <w:rPr>
                <w:rFonts w:ascii="宋体" w:hAnsi="宋体" w:eastAsia="宋体" w:cs="宋体"/>
                <w:kern w:val="0"/>
                <w:sz w:val="24"/>
                <w:szCs w:val="24"/>
              </w:rPr>
              <w:t xml:space="preserve">   </w:t>
            </w:r>
            <w:r>
              <w:rPr>
                <w:rFonts w:hint="eastAsia" w:ascii="宋体" w:hAnsi="宋体" w:eastAsia="宋体" w:cs="宋体"/>
                <w:kern w:val="0"/>
                <w:sz w:val="24"/>
                <w:szCs w:val="24"/>
              </w:rPr>
              <w:t>主机跟电池同一品牌提供蓄电池。</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33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2</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蓄电池</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12v-100AH</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节</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64</w:t>
            </w:r>
          </w:p>
        </w:tc>
      </w:tr>
      <w:tr>
        <w:tblPrEx>
          <w:tblCellMar>
            <w:top w:w="0" w:type="dxa"/>
            <w:left w:w="108" w:type="dxa"/>
            <w:bottom w:w="0" w:type="dxa"/>
            <w:right w:w="108" w:type="dxa"/>
          </w:tblCellMar>
        </w:tblPrEx>
        <w:trPr>
          <w:trHeight w:val="285"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3</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电池柜</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可内置</w:t>
            </w:r>
            <w:r>
              <w:rPr>
                <w:rFonts w:ascii="宋体" w:hAnsi="宋体" w:eastAsia="宋体" w:cs="宋体"/>
                <w:kern w:val="0"/>
                <w:sz w:val="24"/>
                <w:szCs w:val="24"/>
              </w:rPr>
              <w:t>32</w:t>
            </w:r>
            <w:r>
              <w:rPr>
                <w:rFonts w:hint="eastAsia" w:ascii="宋体" w:hAnsi="宋体" w:eastAsia="宋体" w:cs="宋体"/>
                <w:kern w:val="0"/>
                <w:sz w:val="24"/>
                <w:szCs w:val="24"/>
              </w:rPr>
              <w:t>节1</w:t>
            </w:r>
            <w:r>
              <w:rPr>
                <w:rFonts w:ascii="宋体" w:hAnsi="宋体" w:eastAsia="宋体" w:cs="宋体"/>
                <w:kern w:val="0"/>
                <w:sz w:val="24"/>
                <w:szCs w:val="24"/>
              </w:rPr>
              <w:t>00AH</w:t>
            </w:r>
            <w:r>
              <w:rPr>
                <w:rFonts w:hint="eastAsia" w:ascii="宋体" w:hAnsi="宋体" w:eastAsia="宋体" w:cs="宋体"/>
                <w:kern w:val="0"/>
                <w:sz w:val="24"/>
                <w:szCs w:val="24"/>
              </w:rPr>
              <w:t>电池</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2</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4</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UPS</w:t>
            </w:r>
            <w:r>
              <w:rPr>
                <w:rFonts w:hint="eastAsia" w:ascii="宋体" w:hAnsi="宋体" w:eastAsia="宋体" w:cs="宋体"/>
                <w:kern w:val="0"/>
                <w:sz w:val="24"/>
                <w:szCs w:val="24"/>
              </w:rPr>
              <w:t>配电箱</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国标</w:t>
            </w:r>
            <w:r>
              <w:rPr>
                <w:rFonts w:ascii="宋体" w:hAnsi="宋体" w:eastAsia="宋体" w:cs="宋体"/>
                <w:kern w:val="0"/>
                <w:sz w:val="24"/>
                <w:szCs w:val="24"/>
              </w:rPr>
              <w:t>,</w:t>
            </w:r>
            <w:r>
              <w:rPr>
                <w:rFonts w:hint="eastAsia" w:ascii="宋体" w:hAnsi="宋体" w:eastAsia="宋体" w:cs="宋体"/>
                <w:kern w:val="0"/>
                <w:sz w:val="24"/>
                <w:szCs w:val="24"/>
              </w:rPr>
              <w:t>阻燃铜质电线100米</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r>
      <w:tr>
        <w:tblPrEx>
          <w:tblCellMar>
            <w:top w:w="0" w:type="dxa"/>
            <w:left w:w="108" w:type="dxa"/>
            <w:bottom w:w="0" w:type="dxa"/>
            <w:right w:w="108" w:type="dxa"/>
          </w:tblCellMar>
        </w:tblPrEx>
        <w:trPr>
          <w:trHeight w:val="48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5</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机房专用嵌入式节能格栅灯盘</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600*600, 20W*3</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42</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6</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双头应急照明灯</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2*5W</w:t>
            </w:r>
            <w:r>
              <w:rPr>
                <w:rFonts w:hint="eastAsia" w:ascii="宋体" w:hAnsi="宋体" w:eastAsia="宋体" w:cs="宋体"/>
                <w:kern w:val="0"/>
                <w:sz w:val="24"/>
                <w:szCs w:val="24"/>
              </w:rPr>
              <w:t>，</w:t>
            </w:r>
            <w:r>
              <w:rPr>
                <w:rFonts w:ascii="宋体" w:hAnsi="宋体" w:eastAsia="宋体" w:cs="宋体"/>
                <w:kern w:val="0"/>
                <w:sz w:val="24"/>
                <w:szCs w:val="24"/>
              </w:rPr>
              <w:t>LED</w:t>
            </w:r>
            <w:r>
              <w:rPr>
                <w:rFonts w:hint="eastAsia" w:ascii="宋体" w:hAnsi="宋体" w:eastAsia="宋体" w:cs="宋体"/>
                <w:kern w:val="0"/>
                <w:sz w:val="24"/>
                <w:szCs w:val="24"/>
              </w:rPr>
              <w:t>灯</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2</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7</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安全出口门指示灯</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φ5</w:t>
            </w:r>
            <w:r>
              <w:rPr>
                <w:rFonts w:hint="eastAsia" w:ascii="宋体" w:hAnsi="宋体" w:eastAsia="宋体" w:cs="宋体"/>
                <w:kern w:val="0"/>
                <w:sz w:val="24"/>
                <w:szCs w:val="24"/>
              </w:rPr>
              <w:t>超亮绿色</w:t>
            </w:r>
            <w:r>
              <w:rPr>
                <w:rFonts w:ascii="宋体" w:hAnsi="宋体" w:eastAsia="宋体" w:cs="宋体"/>
                <w:kern w:val="0"/>
                <w:sz w:val="24"/>
                <w:szCs w:val="24"/>
              </w:rPr>
              <w:t>LED*6</w:t>
            </w:r>
            <w:r>
              <w:rPr>
                <w:rFonts w:hint="eastAsia" w:ascii="宋体" w:hAnsi="宋体" w:eastAsia="宋体" w:cs="宋体"/>
                <w:kern w:val="0"/>
                <w:sz w:val="24"/>
                <w:szCs w:val="24"/>
              </w:rPr>
              <w:t>，额定功率：≤</w:t>
            </w:r>
            <w:r>
              <w:rPr>
                <w:rFonts w:ascii="宋体" w:hAnsi="宋体" w:eastAsia="宋体" w:cs="宋体"/>
                <w:kern w:val="0"/>
                <w:sz w:val="24"/>
                <w:szCs w:val="24"/>
              </w:rPr>
              <w:t>3W</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2</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8</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开关</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暗装四极单空开关</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3</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9</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插座</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国标</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28</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10</w:t>
            </w:r>
          </w:p>
        </w:tc>
        <w:tc>
          <w:tcPr>
            <w:tcW w:w="722"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阻燃铜质电线</w:t>
            </w:r>
          </w:p>
        </w:tc>
        <w:tc>
          <w:tcPr>
            <w:tcW w:w="294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WDZB-BYJ-2.5</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190</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11</w:t>
            </w:r>
          </w:p>
        </w:tc>
        <w:tc>
          <w:tcPr>
            <w:tcW w:w="722"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阻燃铜质电线</w:t>
            </w:r>
          </w:p>
        </w:tc>
        <w:tc>
          <w:tcPr>
            <w:tcW w:w="294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WDZB-BYJ-4</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294.6</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12</w:t>
            </w:r>
          </w:p>
        </w:tc>
        <w:tc>
          <w:tcPr>
            <w:tcW w:w="722"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阻燃铜质电线</w:t>
            </w:r>
          </w:p>
        </w:tc>
        <w:tc>
          <w:tcPr>
            <w:tcW w:w="294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WDZBN-BYJ-2.5</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503.47</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13</w:t>
            </w:r>
          </w:p>
        </w:tc>
        <w:tc>
          <w:tcPr>
            <w:tcW w:w="722"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阻燃铜质电线</w:t>
            </w:r>
          </w:p>
        </w:tc>
        <w:tc>
          <w:tcPr>
            <w:tcW w:w="294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WDZBN-BYJ-4</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197.86</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14</w:t>
            </w:r>
          </w:p>
        </w:tc>
        <w:tc>
          <w:tcPr>
            <w:tcW w:w="722"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弱电桥架</w:t>
            </w:r>
          </w:p>
        </w:tc>
        <w:tc>
          <w:tcPr>
            <w:tcW w:w="294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100*50</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15</w:t>
            </w:r>
          </w:p>
        </w:tc>
        <w:tc>
          <w:tcPr>
            <w:tcW w:w="722"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弱电桥架</w:t>
            </w:r>
          </w:p>
        </w:tc>
        <w:tc>
          <w:tcPr>
            <w:tcW w:w="294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200*100</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30</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16</w:t>
            </w:r>
          </w:p>
        </w:tc>
        <w:tc>
          <w:tcPr>
            <w:tcW w:w="722"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弱电桥架</w:t>
            </w:r>
          </w:p>
        </w:tc>
        <w:tc>
          <w:tcPr>
            <w:tcW w:w="294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300*100</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30</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17</w:t>
            </w:r>
          </w:p>
        </w:tc>
        <w:tc>
          <w:tcPr>
            <w:tcW w:w="722"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JDG20管</w:t>
            </w:r>
          </w:p>
        </w:tc>
        <w:tc>
          <w:tcPr>
            <w:tcW w:w="294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DN20</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154.07</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18</w:t>
            </w:r>
          </w:p>
        </w:tc>
        <w:tc>
          <w:tcPr>
            <w:tcW w:w="722"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JDG25管</w:t>
            </w:r>
          </w:p>
        </w:tc>
        <w:tc>
          <w:tcPr>
            <w:tcW w:w="294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DN25</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136.15</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19</w:t>
            </w:r>
          </w:p>
        </w:tc>
        <w:tc>
          <w:tcPr>
            <w:tcW w:w="722"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JDG32管</w:t>
            </w:r>
          </w:p>
        </w:tc>
        <w:tc>
          <w:tcPr>
            <w:tcW w:w="294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DN32</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428.85</w:t>
            </w:r>
          </w:p>
        </w:tc>
      </w:tr>
      <w:tr>
        <w:tblPrEx>
          <w:tblCellMar>
            <w:top w:w="0" w:type="dxa"/>
            <w:left w:w="108" w:type="dxa"/>
            <w:bottom w:w="0" w:type="dxa"/>
            <w:right w:w="108" w:type="dxa"/>
          </w:tblCellMar>
        </w:tblPrEx>
        <w:trPr>
          <w:trHeight w:val="270" w:hRule="atLeast"/>
        </w:trPr>
        <w:tc>
          <w:tcPr>
            <w:tcW w:w="339" w:type="pct"/>
            <w:tcBorders>
              <w:top w:val="inset" w:color="auto" w:sz="6" w:space="0"/>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六</w:t>
            </w:r>
          </w:p>
        </w:tc>
        <w:tc>
          <w:tcPr>
            <w:tcW w:w="722" w:type="pct"/>
            <w:tcBorders>
              <w:top w:val="inset" w:color="auto" w:sz="6" w:space="0"/>
              <w:left w:val="nil"/>
              <w:bottom w:val="single" w:color="000000" w:sz="8" w:space="0"/>
              <w:right w:val="single" w:color="000000" w:sz="8" w:space="0"/>
            </w:tcBorders>
            <w:shd w:val="clear" w:color="auto" w:fill="auto"/>
            <w:vAlign w:val="center"/>
          </w:tcPr>
          <w:p>
            <w:pPr>
              <w:widowControl/>
              <w:jc w:val="left"/>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空调</w:t>
            </w:r>
          </w:p>
        </w:tc>
        <w:tc>
          <w:tcPr>
            <w:tcW w:w="2941" w:type="pct"/>
            <w:tcBorders>
              <w:top w:val="inset" w:color="auto" w:sz="6" w:space="0"/>
              <w:left w:val="nil"/>
              <w:bottom w:val="single" w:color="000000" w:sz="8" w:space="0"/>
              <w:right w:val="single" w:color="000000" w:sz="8" w:space="0"/>
            </w:tcBorders>
            <w:shd w:val="clear" w:color="auto" w:fill="auto"/>
            <w:noWrap/>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tc>
        <w:tc>
          <w:tcPr>
            <w:tcW w:w="446" w:type="pct"/>
            <w:tcBorders>
              <w:top w:val="inset" w:color="auto" w:sz="6" w:space="0"/>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　</w:t>
            </w:r>
          </w:p>
        </w:tc>
        <w:tc>
          <w:tcPr>
            <w:tcW w:w="552" w:type="pct"/>
            <w:tcBorders>
              <w:top w:val="inset" w:color="auto" w:sz="6" w:space="0"/>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　</w:t>
            </w:r>
          </w:p>
        </w:tc>
      </w:tr>
      <w:tr>
        <w:tblPrEx>
          <w:tblCellMar>
            <w:top w:w="0" w:type="dxa"/>
            <w:left w:w="108" w:type="dxa"/>
            <w:bottom w:w="0" w:type="dxa"/>
            <w:right w:w="108" w:type="dxa"/>
          </w:tblCellMar>
        </w:tblPrEx>
        <w:trPr>
          <w:trHeight w:val="270" w:hRule="atLeast"/>
        </w:trPr>
        <w:tc>
          <w:tcPr>
            <w:tcW w:w="339" w:type="pct"/>
            <w:vMerge w:val="restar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722"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5</w:t>
            </w:r>
            <w:r>
              <w:rPr>
                <w:rFonts w:ascii="宋体" w:hAnsi="宋体" w:eastAsia="宋体" w:cs="宋体"/>
                <w:kern w:val="0"/>
                <w:sz w:val="24"/>
                <w:szCs w:val="24"/>
              </w:rPr>
              <w:t>P</w:t>
            </w:r>
            <w:r>
              <w:rPr>
                <w:rFonts w:hint="eastAsia" w:ascii="宋体" w:hAnsi="宋体" w:eastAsia="宋体" w:cs="宋体"/>
                <w:kern w:val="0"/>
                <w:sz w:val="24"/>
                <w:szCs w:val="24"/>
              </w:rPr>
              <w:t>空调</w:t>
            </w: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5P</w:t>
            </w:r>
            <w:r>
              <w:rPr>
                <w:rFonts w:hint="eastAsia" w:ascii="宋体" w:hAnsi="宋体" w:eastAsia="宋体" w:cs="宋体"/>
                <w:kern w:val="0"/>
                <w:sz w:val="24"/>
                <w:szCs w:val="24"/>
              </w:rPr>
              <w:t>柜式单冷空调</w:t>
            </w:r>
          </w:p>
        </w:tc>
        <w:tc>
          <w:tcPr>
            <w:tcW w:w="446" w:type="pct"/>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552" w:type="pct"/>
            <w:vMerge w:val="restart"/>
            <w:tcBorders>
              <w:top w:val="nil"/>
              <w:left w:val="single" w:color="000000" w:sz="8" w:space="0"/>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4</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制冷方式：冷媒</w:t>
            </w:r>
            <w:r>
              <w:rPr>
                <w:rFonts w:ascii="宋体" w:hAnsi="宋体" w:eastAsia="宋体" w:cs="宋体"/>
                <w:kern w:val="0"/>
                <w:sz w:val="24"/>
                <w:szCs w:val="24"/>
              </w:rPr>
              <w:t xml:space="preserve"> R32</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能效等级：</w:t>
            </w:r>
            <w:r>
              <w:rPr>
                <w:rFonts w:ascii="宋体" w:hAnsi="宋体" w:eastAsia="宋体" w:cs="宋体"/>
                <w:kern w:val="0"/>
                <w:sz w:val="24"/>
                <w:szCs w:val="24"/>
              </w:rPr>
              <w:t>2</w:t>
            </w:r>
            <w:r>
              <w:rPr>
                <w:rFonts w:hint="eastAsia" w:ascii="宋体" w:hAnsi="宋体" w:eastAsia="宋体" w:cs="宋体"/>
                <w:kern w:val="0"/>
                <w:sz w:val="24"/>
                <w:szCs w:val="24"/>
              </w:rPr>
              <w:t>级</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额定制冷量（</w:t>
            </w:r>
            <w:r>
              <w:rPr>
                <w:rFonts w:ascii="宋体" w:hAnsi="宋体" w:eastAsia="宋体" w:cs="宋体"/>
                <w:kern w:val="0"/>
                <w:sz w:val="24"/>
                <w:szCs w:val="24"/>
              </w:rPr>
              <w:t>W</w:t>
            </w:r>
            <w:r>
              <w:rPr>
                <w:rFonts w:hint="eastAsia" w:ascii="宋体" w:hAnsi="宋体" w:eastAsia="宋体" w:cs="宋体"/>
                <w:kern w:val="0"/>
                <w:sz w:val="24"/>
                <w:szCs w:val="24"/>
              </w:rPr>
              <w:t>）：</w:t>
            </w:r>
            <w:r>
              <w:rPr>
                <w:rFonts w:ascii="宋体" w:hAnsi="宋体" w:eastAsia="宋体" w:cs="宋体"/>
                <w:kern w:val="0"/>
                <w:sz w:val="24"/>
                <w:szCs w:val="24"/>
              </w:rPr>
              <w:t>12150W</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4.</w:t>
            </w:r>
            <w:r>
              <w:rPr>
                <w:rFonts w:hint="eastAsia" w:ascii="宋体" w:hAnsi="宋体" w:eastAsia="宋体" w:cs="宋体"/>
                <w:kern w:val="0"/>
                <w:sz w:val="24"/>
                <w:szCs w:val="24"/>
              </w:rPr>
              <w:t>制冷功率（</w:t>
            </w:r>
            <w:r>
              <w:rPr>
                <w:rFonts w:ascii="宋体" w:hAnsi="宋体" w:eastAsia="宋体" w:cs="宋体"/>
                <w:kern w:val="0"/>
                <w:sz w:val="24"/>
                <w:szCs w:val="24"/>
              </w:rPr>
              <w:t>W</w:t>
            </w:r>
            <w:r>
              <w:rPr>
                <w:rFonts w:hint="eastAsia" w:ascii="宋体" w:hAnsi="宋体" w:eastAsia="宋体" w:cs="宋体"/>
                <w:kern w:val="0"/>
                <w:sz w:val="24"/>
                <w:szCs w:val="24"/>
              </w:rPr>
              <w:t>）：</w:t>
            </w:r>
            <w:r>
              <w:rPr>
                <w:rFonts w:ascii="宋体" w:hAnsi="宋体" w:eastAsia="宋体" w:cs="宋体"/>
                <w:kern w:val="0"/>
                <w:sz w:val="24"/>
                <w:szCs w:val="24"/>
              </w:rPr>
              <w:t>3500W</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制冷电流：</w:t>
            </w:r>
            <w:r>
              <w:rPr>
                <w:rFonts w:ascii="宋体" w:hAnsi="宋体" w:eastAsia="宋体" w:cs="宋体"/>
                <w:kern w:val="0"/>
                <w:sz w:val="24"/>
                <w:szCs w:val="24"/>
              </w:rPr>
              <w:t>5.5A</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七</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防雷接地工程</w:t>
            </w:r>
          </w:p>
        </w:tc>
        <w:tc>
          <w:tcPr>
            <w:tcW w:w="2941" w:type="pct"/>
            <w:tcBorders>
              <w:top w:val="nil"/>
              <w:left w:val="nil"/>
              <w:bottom w:val="single" w:color="000000" w:sz="8" w:space="0"/>
              <w:right w:val="single" w:color="000000" w:sz="8" w:space="0"/>
            </w:tcBorders>
            <w:shd w:val="clear" w:color="auto" w:fill="auto"/>
            <w:noWrap/>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　</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　</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等电位连接器</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地电位均衡器</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2</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电源</w:t>
            </w:r>
            <w:r>
              <w:rPr>
                <w:rFonts w:ascii="宋体" w:hAnsi="宋体" w:eastAsia="宋体" w:cs="宋体"/>
                <w:kern w:val="0"/>
                <w:sz w:val="24"/>
                <w:szCs w:val="24"/>
              </w:rPr>
              <w:t>B</w:t>
            </w:r>
            <w:r>
              <w:rPr>
                <w:rFonts w:hint="eastAsia" w:ascii="宋体" w:hAnsi="宋体" w:eastAsia="宋体" w:cs="宋体"/>
                <w:kern w:val="0"/>
                <w:sz w:val="24"/>
                <w:szCs w:val="24"/>
              </w:rPr>
              <w:t>级防雷器</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40kA</w:t>
            </w:r>
            <w:r>
              <w:rPr>
                <w:rFonts w:hint="eastAsia" w:ascii="宋体" w:hAnsi="宋体" w:eastAsia="宋体" w:cs="宋体"/>
                <w:kern w:val="0"/>
                <w:sz w:val="24"/>
                <w:szCs w:val="24"/>
              </w:rPr>
              <w:t>（</w:t>
            </w:r>
            <w:r>
              <w:rPr>
                <w:rFonts w:ascii="宋体" w:hAnsi="宋体" w:eastAsia="宋体" w:cs="宋体"/>
                <w:kern w:val="0"/>
                <w:sz w:val="24"/>
                <w:szCs w:val="24"/>
              </w:rPr>
              <w:t>In</w:t>
            </w:r>
            <w:r>
              <w:rPr>
                <w:rFonts w:hint="eastAsia" w:ascii="宋体" w:hAnsi="宋体" w:eastAsia="宋体" w:cs="宋体"/>
                <w:kern w:val="0"/>
                <w:sz w:val="24"/>
                <w:szCs w:val="24"/>
              </w:rPr>
              <w:t>）</w:t>
            </w:r>
            <w:r>
              <w:rPr>
                <w:rFonts w:ascii="宋体" w:hAnsi="宋体" w:eastAsia="宋体" w:cs="宋体"/>
                <w:kern w:val="0"/>
                <w:sz w:val="24"/>
                <w:szCs w:val="24"/>
              </w:rPr>
              <w:t>,80kA</w:t>
            </w:r>
            <w:r>
              <w:rPr>
                <w:rFonts w:hint="eastAsia" w:ascii="宋体" w:hAnsi="宋体" w:eastAsia="宋体" w:cs="宋体"/>
                <w:kern w:val="0"/>
                <w:sz w:val="24"/>
                <w:szCs w:val="24"/>
              </w:rPr>
              <w:t>（</w:t>
            </w:r>
            <w:r>
              <w:rPr>
                <w:rFonts w:ascii="宋体" w:hAnsi="宋体" w:eastAsia="宋体" w:cs="宋体"/>
                <w:kern w:val="0"/>
                <w:sz w:val="24"/>
                <w:szCs w:val="24"/>
              </w:rPr>
              <w:t>Imax</w:t>
            </w:r>
            <w:r>
              <w:rPr>
                <w:rFonts w:hint="eastAsia" w:ascii="宋体" w:hAnsi="宋体" w:eastAsia="宋体" w:cs="宋体"/>
                <w:kern w:val="0"/>
                <w:sz w:val="24"/>
                <w:szCs w:val="24"/>
              </w:rPr>
              <w:t>）三相一级四模块电源防雷器</w:t>
            </w:r>
            <w:r>
              <w:rPr>
                <w:rFonts w:ascii="宋体" w:hAnsi="宋体" w:eastAsia="宋体" w:cs="宋体"/>
                <w:kern w:val="0"/>
                <w:sz w:val="24"/>
                <w:szCs w:val="24"/>
              </w:rPr>
              <w:t>(</w:t>
            </w:r>
            <w:r>
              <w:rPr>
                <w:rFonts w:hint="eastAsia" w:ascii="宋体" w:hAnsi="宋体" w:eastAsia="宋体" w:cs="宋体"/>
                <w:kern w:val="0"/>
                <w:sz w:val="24"/>
                <w:szCs w:val="24"/>
              </w:rPr>
              <w:t>含</w:t>
            </w:r>
            <w:r>
              <w:rPr>
                <w:rFonts w:ascii="宋体" w:hAnsi="宋体" w:eastAsia="宋体" w:cs="宋体"/>
                <w:kern w:val="0"/>
                <w:sz w:val="24"/>
                <w:szCs w:val="24"/>
              </w:rPr>
              <w:t>NPE</w:t>
            </w:r>
            <w:r>
              <w:rPr>
                <w:rFonts w:hint="eastAsia" w:ascii="宋体" w:hAnsi="宋体" w:eastAsia="宋体" w:cs="宋体"/>
                <w:kern w:val="0"/>
                <w:sz w:val="24"/>
                <w:szCs w:val="24"/>
              </w:rPr>
              <w:t>保护模块</w:t>
            </w:r>
            <w:r>
              <w:rPr>
                <w:rFonts w:ascii="宋体" w:hAnsi="宋体" w:eastAsia="宋体" w:cs="宋体"/>
                <w:kern w:val="0"/>
                <w:sz w:val="24"/>
                <w:szCs w:val="24"/>
              </w:rPr>
              <w:t>)</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3</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电源</w:t>
            </w:r>
            <w:r>
              <w:rPr>
                <w:rFonts w:ascii="宋体" w:hAnsi="宋体" w:eastAsia="宋体" w:cs="宋体"/>
                <w:kern w:val="0"/>
                <w:sz w:val="24"/>
                <w:szCs w:val="24"/>
              </w:rPr>
              <w:t>C</w:t>
            </w:r>
            <w:r>
              <w:rPr>
                <w:rFonts w:hint="eastAsia" w:ascii="宋体" w:hAnsi="宋体" w:eastAsia="宋体" w:cs="宋体"/>
                <w:kern w:val="0"/>
                <w:sz w:val="24"/>
                <w:szCs w:val="24"/>
              </w:rPr>
              <w:t>级防雷器</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20kA</w:t>
            </w:r>
            <w:r>
              <w:rPr>
                <w:rFonts w:hint="eastAsia" w:ascii="宋体" w:hAnsi="宋体" w:eastAsia="宋体" w:cs="宋体"/>
                <w:kern w:val="0"/>
                <w:sz w:val="24"/>
                <w:szCs w:val="24"/>
              </w:rPr>
              <w:t>（</w:t>
            </w:r>
            <w:r>
              <w:rPr>
                <w:rFonts w:ascii="宋体" w:hAnsi="宋体" w:eastAsia="宋体" w:cs="宋体"/>
                <w:kern w:val="0"/>
                <w:sz w:val="24"/>
                <w:szCs w:val="24"/>
              </w:rPr>
              <w:t>In</w:t>
            </w:r>
            <w:r>
              <w:rPr>
                <w:rFonts w:hint="eastAsia" w:ascii="宋体" w:hAnsi="宋体" w:eastAsia="宋体" w:cs="宋体"/>
                <w:kern w:val="0"/>
                <w:sz w:val="24"/>
                <w:szCs w:val="24"/>
              </w:rPr>
              <w:t>）</w:t>
            </w:r>
            <w:r>
              <w:rPr>
                <w:rFonts w:ascii="宋体" w:hAnsi="宋体" w:eastAsia="宋体" w:cs="宋体"/>
                <w:kern w:val="0"/>
                <w:sz w:val="24"/>
                <w:szCs w:val="24"/>
              </w:rPr>
              <w:t>,40kA</w:t>
            </w:r>
            <w:r>
              <w:rPr>
                <w:rFonts w:hint="eastAsia" w:ascii="宋体" w:hAnsi="宋体" w:eastAsia="宋体" w:cs="宋体"/>
                <w:kern w:val="0"/>
                <w:sz w:val="24"/>
                <w:szCs w:val="24"/>
              </w:rPr>
              <w:t>（</w:t>
            </w:r>
            <w:r>
              <w:rPr>
                <w:rFonts w:ascii="宋体" w:hAnsi="宋体" w:eastAsia="宋体" w:cs="宋体"/>
                <w:kern w:val="0"/>
                <w:sz w:val="24"/>
                <w:szCs w:val="24"/>
              </w:rPr>
              <w:t>Imax</w:t>
            </w:r>
            <w:r>
              <w:rPr>
                <w:rFonts w:hint="eastAsia" w:ascii="宋体" w:hAnsi="宋体" w:eastAsia="宋体" w:cs="宋体"/>
                <w:kern w:val="0"/>
                <w:sz w:val="24"/>
                <w:szCs w:val="24"/>
              </w:rPr>
              <w:t>）三相二级四模块电源防雷器</w:t>
            </w:r>
            <w:r>
              <w:rPr>
                <w:rFonts w:ascii="宋体" w:hAnsi="宋体" w:eastAsia="宋体" w:cs="宋体"/>
                <w:kern w:val="0"/>
                <w:sz w:val="24"/>
                <w:szCs w:val="24"/>
              </w:rPr>
              <w:t>(</w:t>
            </w:r>
            <w:r>
              <w:rPr>
                <w:rFonts w:hint="eastAsia" w:ascii="宋体" w:hAnsi="宋体" w:eastAsia="宋体" w:cs="宋体"/>
                <w:kern w:val="0"/>
                <w:sz w:val="24"/>
                <w:szCs w:val="24"/>
              </w:rPr>
              <w:t>含</w:t>
            </w:r>
            <w:r>
              <w:rPr>
                <w:rFonts w:ascii="宋体" w:hAnsi="宋体" w:eastAsia="宋体" w:cs="宋体"/>
                <w:kern w:val="0"/>
                <w:sz w:val="24"/>
                <w:szCs w:val="24"/>
              </w:rPr>
              <w:t>NPE</w:t>
            </w:r>
            <w:r>
              <w:rPr>
                <w:rFonts w:hint="eastAsia" w:ascii="宋体" w:hAnsi="宋体" w:eastAsia="宋体" w:cs="宋体"/>
                <w:kern w:val="0"/>
                <w:sz w:val="24"/>
                <w:szCs w:val="24"/>
              </w:rPr>
              <w:t>保护模块</w:t>
            </w:r>
            <w:r>
              <w:rPr>
                <w:rFonts w:ascii="宋体" w:hAnsi="宋体" w:eastAsia="宋体" w:cs="宋体"/>
                <w:kern w:val="0"/>
                <w:sz w:val="24"/>
                <w:szCs w:val="24"/>
              </w:rPr>
              <w:t>)</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4</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接地铜线</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rPr>
              <w:t>平方</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289.57</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5</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铜排</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40*4mm</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71.21</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6</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铜排</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50*0.1mm</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225.17</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八</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旧设备拆除</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　</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722"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拆除原有电视墙</w:t>
            </w:r>
          </w:p>
        </w:tc>
        <w:tc>
          <w:tcPr>
            <w:tcW w:w="294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tc>
        <w:tc>
          <w:tcPr>
            <w:tcW w:w="446" w:type="pct"/>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w:t>
            </w:r>
          </w:p>
        </w:tc>
        <w:tc>
          <w:tcPr>
            <w:tcW w:w="552" w:type="pct"/>
            <w:tcBorders>
              <w:top w:val="nil"/>
              <w:left w:val="nil"/>
              <w:bottom w:val="single" w:color="000000"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auto"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2</w:t>
            </w:r>
          </w:p>
        </w:tc>
        <w:tc>
          <w:tcPr>
            <w:tcW w:w="722" w:type="pct"/>
            <w:tcBorders>
              <w:top w:val="nil"/>
              <w:left w:val="nil"/>
              <w:bottom w:val="single" w:color="auto"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拆除原有静电地板</w:t>
            </w:r>
          </w:p>
        </w:tc>
        <w:tc>
          <w:tcPr>
            <w:tcW w:w="2941" w:type="pct"/>
            <w:tcBorders>
              <w:top w:val="nil"/>
              <w:left w:val="nil"/>
              <w:bottom w:val="single" w:color="auto"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tc>
        <w:tc>
          <w:tcPr>
            <w:tcW w:w="446" w:type="pct"/>
            <w:tcBorders>
              <w:top w:val="nil"/>
              <w:left w:val="nil"/>
              <w:bottom w:val="single" w:color="auto"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w:t>
            </w:r>
          </w:p>
        </w:tc>
        <w:tc>
          <w:tcPr>
            <w:tcW w:w="552"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r>
      <w:tr>
        <w:tblPrEx>
          <w:tblCellMar>
            <w:top w:w="0" w:type="dxa"/>
            <w:left w:w="108" w:type="dxa"/>
            <w:bottom w:w="0" w:type="dxa"/>
            <w:right w:w="108" w:type="dxa"/>
          </w:tblCellMar>
        </w:tblPrEx>
        <w:trPr>
          <w:trHeight w:val="270" w:hRule="atLeast"/>
        </w:trPr>
        <w:tc>
          <w:tcPr>
            <w:tcW w:w="339" w:type="pct"/>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722" w:type="pct"/>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2941" w:type="pct"/>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446" w:type="pct"/>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552" w:type="pct"/>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1061" w:type="pct"/>
            <w:gridSpan w:val="2"/>
            <w:tcBorders>
              <w:top w:val="nil"/>
              <w:left w:val="nil"/>
              <w:bottom w:val="nil"/>
              <w:right w:val="nil"/>
            </w:tcBorders>
            <w:shd w:val="clear" w:color="auto" w:fill="auto"/>
            <w:noWrap/>
            <w:vAlign w:val="center"/>
          </w:tcPr>
          <w:p>
            <w:pPr>
              <w:widowControl/>
              <w:ind w:left="822" w:hanging="822" w:hangingChars="341"/>
              <w:jc w:val="left"/>
              <w:rPr>
                <w:rFonts w:ascii="宋体" w:hAnsi="宋体" w:eastAsia="宋体" w:cs="宋体"/>
                <w:kern w:val="0"/>
                <w:sz w:val="24"/>
                <w:szCs w:val="24"/>
              </w:rPr>
            </w:pPr>
            <w:r>
              <w:rPr>
                <w:rFonts w:hint="eastAsia" w:ascii="宋体" w:hAnsi="宋体" w:eastAsia="宋体" w:cs="宋体"/>
                <w:b/>
                <w:bCs/>
                <w:color w:val="000000" w:themeColor="text1"/>
                <w:kern w:val="0"/>
                <w:sz w:val="24"/>
                <w:szCs w:val="24"/>
              </w:rPr>
              <w:t>（三）．消防改造清单</w:t>
            </w:r>
          </w:p>
        </w:tc>
        <w:tc>
          <w:tcPr>
            <w:tcW w:w="2941" w:type="pct"/>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446" w:type="pct"/>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552" w:type="pct"/>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tcBorders>
              <w:top w:val="single" w:color="auto" w:sz="8" w:space="0"/>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722" w:type="pct"/>
            <w:tcBorders>
              <w:top w:val="single" w:color="auto" w:sz="8" w:space="0"/>
              <w:left w:val="nil"/>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设备名称</w:t>
            </w:r>
          </w:p>
        </w:tc>
        <w:tc>
          <w:tcPr>
            <w:tcW w:w="2941" w:type="pct"/>
            <w:tcBorders>
              <w:top w:val="single" w:color="auto" w:sz="8" w:space="0"/>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主要设备技术参数</w:t>
            </w:r>
          </w:p>
        </w:tc>
        <w:tc>
          <w:tcPr>
            <w:tcW w:w="446" w:type="pct"/>
            <w:tcBorders>
              <w:top w:val="single" w:color="auto" w:sz="8" w:space="0"/>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单位</w:t>
            </w:r>
          </w:p>
        </w:tc>
        <w:tc>
          <w:tcPr>
            <w:tcW w:w="552" w:type="pct"/>
            <w:tcBorders>
              <w:top w:val="single" w:color="auto" w:sz="8" w:space="0"/>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数量</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22" w:type="pct"/>
            <w:tcBorders>
              <w:top w:val="nil"/>
              <w:left w:val="nil"/>
              <w:bottom w:val="single" w:color="000000" w:sz="8" w:space="0"/>
              <w:right w:val="single" w:color="000000"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消防改造工程</w:t>
            </w:r>
          </w:p>
        </w:tc>
        <w:tc>
          <w:tcPr>
            <w:tcW w:w="2941" w:type="pct"/>
            <w:tcBorders>
              <w:top w:val="nil"/>
              <w:left w:val="nil"/>
              <w:bottom w:val="single" w:color="000000" w:sz="8" w:space="0"/>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22" w:type="pct"/>
            <w:tcBorders>
              <w:top w:val="nil"/>
              <w:left w:val="nil"/>
              <w:bottom w:val="single" w:color="000000" w:sz="8" w:space="0"/>
              <w:right w:val="single" w:color="000000"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接线箱</w:t>
            </w:r>
          </w:p>
        </w:tc>
        <w:tc>
          <w:tcPr>
            <w:tcW w:w="2941" w:type="pct"/>
            <w:tcBorders>
              <w:top w:val="nil"/>
              <w:left w:val="nil"/>
              <w:bottom w:val="single" w:color="000000" w:sz="8" w:space="0"/>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(1)报警线路转接箱</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722" w:type="pct"/>
            <w:tcBorders>
              <w:top w:val="nil"/>
              <w:left w:val="nil"/>
              <w:bottom w:val="single" w:color="000000" w:sz="8" w:space="0"/>
              <w:right w:val="single" w:color="000000"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桥架</w:t>
            </w:r>
          </w:p>
        </w:tc>
        <w:tc>
          <w:tcPr>
            <w:tcW w:w="2941" w:type="pct"/>
            <w:tcBorders>
              <w:top w:val="nil"/>
              <w:left w:val="nil"/>
              <w:bottom w:val="single" w:color="000000" w:sz="8" w:space="0"/>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(1)防火桥架安装 ZBN-MR-(100+50+25+25)×100(防火隔板)</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m</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768</w:t>
            </w:r>
          </w:p>
        </w:tc>
      </w:tr>
      <w:tr>
        <w:tblPrEx>
          <w:tblCellMar>
            <w:top w:w="0" w:type="dxa"/>
            <w:left w:w="108" w:type="dxa"/>
            <w:bottom w:w="0" w:type="dxa"/>
            <w:right w:w="108" w:type="dxa"/>
          </w:tblCellMar>
        </w:tblPrEx>
        <w:trPr>
          <w:trHeight w:val="285"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22" w:type="pct"/>
            <w:tcBorders>
              <w:top w:val="nil"/>
              <w:left w:val="nil"/>
              <w:bottom w:val="single" w:color="000000" w:sz="8" w:space="0"/>
              <w:right w:val="single" w:color="000000"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配管</w:t>
            </w:r>
          </w:p>
        </w:tc>
        <w:tc>
          <w:tcPr>
            <w:tcW w:w="2941" w:type="pct"/>
            <w:tcBorders>
              <w:top w:val="nil"/>
              <w:left w:val="nil"/>
              <w:bottom w:val="single" w:color="000000" w:sz="8" w:space="0"/>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(1)埋地敷设 CPVC160</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m</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5088</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22" w:type="pct"/>
            <w:tcBorders>
              <w:top w:val="nil"/>
              <w:left w:val="nil"/>
              <w:bottom w:val="single" w:color="000000" w:sz="8" w:space="0"/>
              <w:right w:val="single" w:color="000000"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配管</w:t>
            </w:r>
          </w:p>
        </w:tc>
        <w:tc>
          <w:tcPr>
            <w:tcW w:w="2941" w:type="pct"/>
            <w:tcBorders>
              <w:top w:val="nil"/>
              <w:left w:val="nil"/>
              <w:bottom w:val="single" w:color="000000" w:sz="8" w:space="0"/>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(1)埋地敷设 CPVC80</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m</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5787</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22" w:type="pct"/>
            <w:tcBorders>
              <w:top w:val="nil"/>
              <w:left w:val="nil"/>
              <w:bottom w:val="single" w:color="000000" w:sz="8" w:space="0"/>
              <w:right w:val="single" w:color="000000"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控制电缆</w:t>
            </w:r>
          </w:p>
        </w:tc>
        <w:tc>
          <w:tcPr>
            <w:tcW w:w="2941" w:type="pct"/>
            <w:tcBorders>
              <w:top w:val="nil"/>
              <w:left w:val="nil"/>
              <w:bottom w:val="single" w:color="000000" w:sz="8" w:space="0"/>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(1)室内铜芯控制电缆敷设 ZBN-KVV-2×1.5</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m</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250098</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722" w:type="pct"/>
            <w:tcBorders>
              <w:top w:val="nil"/>
              <w:left w:val="nil"/>
              <w:bottom w:val="single" w:color="000000" w:sz="8" w:space="0"/>
              <w:right w:val="single" w:color="000000"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控制电缆</w:t>
            </w:r>
          </w:p>
        </w:tc>
        <w:tc>
          <w:tcPr>
            <w:tcW w:w="2941" w:type="pct"/>
            <w:tcBorders>
              <w:top w:val="nil"/>
              <w:left w:val="nil"/>
              <w:bottom w:val="single" w:color="000000" w:sz="8" w:space="0"/>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(1)室内铜芯控制电缆敷设 ZBN-KVV-2×6</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m</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4225.86</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722" w:type="pct"/>
            <w:tcBorders>
              <w:top w:val="nil"/>
              <w:left w:val="nil"/>
              <w:bottom w:val="single" w:color="000000" w:sz="8" w:space="0"/>
              <w:right w:val="single" w:color="000000"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控制电缆</w:t>
            </w:r>
          </w:p>
        </w:tc>
        <w:tc>
          <w:tcPr>
            <w:tcW w:w="2941" w:type="pct"/>
            <w:tcBorders>
              <w:top w:val="nil"/>
              <w:left w:val="nil"/>
              <w:bottom w:val="single" w:color="000000" w:sz="8" w:space="0"/>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室内铜芯控制电缆敷设 ZBN-KVV-2×4</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m</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23958.77</w:t>
            </w:r>
          </w:p>
        </w:tc>
      </w:tr>
      <w:tr>
        <w:tblPrEx>
          <w:tblCellMar>
            <w:top w:w="0" w:type="dxa"/>
            <w:left w:w="108" w:type="dxa"/>
            <w:bottom w:w="0" w:type="dxa"/>
            <w:right w:w="108" w:type="dxa"/>
          </w:tblCellMar>
        </w:tblPrEx>
        <w:trPr>
          <w:trHeight w:val="285"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722" w:type="pct"/>
            <w:tcBorders>
              <w:top w:val="nil"/>
              <w:left w:val="nil"/>
              <w:bottom w:val="single" w:color="000000" w:sz="8" w:space="0"/>
              <w:right w:val="single" w:color="000000"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控制电缆头</w:t>
            </w:r>
          </w:p>
        </w:tc>
        <w:tc>
          <w:tcPr>
            <w:tcW w:w="2941" w:type="pct"/>
            <w:tcBorders>
              <w:top w:val="nil"/>
              <w:left w:val="nil"/>
              <w:bottom w:val="single" w:color="000000" w:sz="8" w:space="0"/>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(1)控制电缆终端头制作安装 电缆头ZBN-KVV-2×1.5</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1078</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722" w:type="pct"/>
            <w:tcBorders>
              <w:top w:val="nil"/>
              <w:left w:val="nil"/>
              <w:bottom w:val="single" w:color="000000" w:sz="8" w:space="0"/>
              <w:right w:val="single" w:color="000000"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控制电缆头</w:t>
            </w:r>
          </w:p>
        </w:tc>
        <w:tc>
          <w:tcPr>
            <w:tcW w:w="2941" w:type="pct"/>
            <w:tcBorders>
              <w:top w:val="nil"/>
              <w:left w:val="nil"/>
              <w:bottom w:val="single" w:color="000000" w:sz="8" w:space="0"/>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(1)控制电缆终端头制作安装 电缆头ZBN-KVV-2×6</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18</w:t>
            </w:r>
          </w:p>
        </w:tc>
      </w:tr>
      <w:tr>
        <w:tblPrEx>
          <w:tblCellMar>
            <w:top w:w="0" w:type="dxa"/>
            <w:left w:w="108" w:type="dxa"/>
            <w:bottom w:w="0" w:type="dxa"/>
            <w:right w:w="108" w:type="dxa"/>
          </w:tblCellMar>
        </w:tblPrEx>
        <w:trPr>
          <w:trHeight w:val="270" w:hRule="atLeast"/>
        </w:trPr>
        <w:tc>
          <w:tcPr>
            <w:tcW w:w="339" w:type="pct"/>
            <w:tcBorders>
              <w:top w:val="inset" w:color="auto" w:sz="6" w:space="0"/>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w:t>
            </w:r>
          </w:p>
        </w:tc>
        <w:tc>
          <w:tcPr>
            <w:tcW w:w="722" w:type="pct"/>
            <w:tcBorders>
              <w:top w:val="inset" w:color="auto" w:sz="6" w:space="0"/>
              <w:left w:val="nil"/>
              <w:bottom w:val="single" w:color="000000" w:sz="8" w:space="0"/>
              <w:right w:val="single" w:color="000000"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控制电缆头</w:t>
            </w:r>
          </w:p>
        </w:tc>
        <w:tc>
          <w:tcPr>
            <w:tcW w:w="2941" w:type="pct"/>
            <w:tcBorders>
              <w:top w:val="inset" w:color="auto" w:sz="6" w:space="0"/>
              <w:left w:val="nil"/>
              <w:bottom w:val="single" w:color="000000" w:sz="8" w:space="0"/>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控制电缆终端头制作安装 电缆头ZBN-KVV-2×4</w:t>
            </w:r>
          </w:p>
        </w:tc>
        <w:tc>
          <w:tcPr>
            <w:tcW w:w="446" w:type="pct"/>
            <w:tcBorders>
              <w:top w:val="inset" w:color="auto" w:sz="6" w:space="0"/>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552" w:type="pct"/>
            <w:tcBorders>
              <w:top w:val="inset" w:color="auto" w:sz="6" w:space="0"/>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102</w:t>
            </w:r>
          </w:p>
        </w:tc>
      </w:tr>
      <w:tr>
        <w:tblPrEx>
          <w:tblCellMar>
            <w:top w:w="0" w:type="dxa"/>
            <w:left w:w="108" w:type="dxa"/>
            <w:bottom w:w="0" w:type="dxa"/>
            <w:right w:w="108" w:type="dxa"/>
          </w:tblCellMar>
        </w:tblPrEx>
        <w:trPr>
          <w:trHeight w:val="270" w:hRule="atLeast"/>
        </w:trPr>
        <w:tc>
          <w:tcPr>
            <w:tcW w:w="339" w:type="pct"/>
            <w:vMerge w:val="restar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12</w:t>
            </w:r>
          </w:p>
        </w:tc>
        <w:tc>
          <w:tcPr>
            <w:tcW w:w="722" w:type="pct"/>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人（手）孔井</w:t>
            </w: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(1)弱电井（单盖）1700*1400</w:t>
            </w:r>
          </w:p>
        </w:tc>
        <w:tc>
          <w:tcPr>
            <w:tcW w:w="44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座</w:t>
            </w:r>
          </w:p>
        </w:tc>
        <w:tc>
          <w:tcPr>
            <w:tcW w:w="552" w:type="pct"/>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23</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(2)电缆井设置(井盖安装(套) 铸铁盖、座)</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13</w:t>
            </w:r>
          </w:p>
        </w:tc>
        <w:tc>
          <w:tcPr>
            <w:tcW w:w="722" w:type="pct"/>
            <w:tcBorders>
              <w:top w:val="nil"/>
              <w:left w:val="nil"/>
              <w:bottom w:val="single" w:color="000000" w:sz="8" w:space="0"/>
              <w:right w:val="single" w:color="000000"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拆除路面</w:t>
            </w:r>
          </w:p>
        </w:tc>
        <w:tc>
          <w:tcPr>
            <w:tcW w:w="2941" w:type="pct"/>
            <w:tcBorders>
              <w:top w:val="nil"/>
              <w:left w:val="nil"/>
              <w:bottom w:val="single" w:color="000000" w:sz="8" w:space="0"/>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(1)小型机械拆除混凝土类面层(有筋 厚15cm以内)</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m2</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1214</w:t>
            </w:r>
          </w:p>
        </w:tc>
      </w:tr>
      <w:tr>
        <w:tblPrEx>
          <w:tblCellMar>
            <w:top w:w="0" w:type="dxa"/>
            <w:left w:w="108" w:type="dxa"/>
            <w:bottom w:w="0" w:type="dxa"/>
            <w:right w:w="108" w:type="dxa"/>
          </w:tblCellMar>
        </w:tblPrEx>
        <w:trPr>
          <w:trHeight w:val="270" w:hRule="atLeast"/>
        </w:trPr>
        <w:tc>
          <w:tcPr>
            <w:tcW w:w="339" w:type="pct"/>
            <w:vMerge w:val="restar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14</w:t>
            </w:r>
          </w:p>
        </w:tc>
        <w:tc>
          <w:tcPr>
            <w:tcW w:w="722" w:type="pct"/>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水泥混凝土</w:t>
            </w: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(1)水泥混凝土路面(厚度15cm)</w:t>
            </w:r>
          </w:p>
        </w:tc>
        <w:tc>
          <w:tcPr>
            <w:tcW w:w="44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m2</w:t>
            </w:r>
          </w:p>
        </w:tc>
        <w:tc>
          <w:tcPr>
            <w:tcW w:w="552" w:type="pct"/>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1214</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(2)级配碎石底层(厚度15cm)</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(3)路床(槽)整形(路床碾压检验)</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restar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722" w:type="pct"/>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挖沟槽土方</w:t>
            </w: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(1)人工挖沟槽土方(三类土 槽深2m以内) 人工辅助开挖比例≤5%</w:t>
            </w:r>
          </w:p>
        </w:tc>
        <w:tc>
          <w:tcPr>
            <w:tcW w:w="44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m3</w:t>
            </w:r>
          </w:p>
        </w:tc>
        <w:tc>
          <w:tcPr>
            <w:tcW w:w="552" w:type="pct"/>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1351.61</w:t>
            </w: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nil"/>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(2)小型挖掘机挖土(小型挖掘机挖槽坑土方 不装车 三类土)</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22"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941" w:type="pct"/>
            <w:tcBorders>
              <w:top w:val="nil"/>
              <w:left w:val="nil"/>
              <w:bottom w:val="single" w:color="000000" w:sz="8" w:space="0"/>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(3)小型挖掘机挖土(小型挖掘机挖槽坑土方 装车 三类土)</w:t>
            </w:r>
          </w:p>
        </w:tc>
        <w:tc>
          <w:tcPr>
            <w:tcW w:w="44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52" w:type="pct"/>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16</w:t>
            </w:r>
          </w:p>
        </w:tc>
        <w:tc>
          <w:tcPr>
            <w:tcW w:w="722" w:type="pct"/>
            <w:tcBorders>
              <w:top w:val="nil"/>
              <w:left w:val="nil"/>
              <w:bottom w:val="single" w:color="000000" w:sz="8" w:space="0"/>
              <w:right w:val="single" w:color="000000"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填方</w:t>
            </w:r>
          </w:p>
        </w:tc>
        <w:tc>
          <w:tcPr>
            <w:tcW w:w="2941" w:type="pct"/>
            <w:tcBorders>
              <w:top w:val="nil"/>
              <w:left w:val="nil"/>
              <w:bottom w:val="single" w:color="000000" w:sz="8" w:space="0"/>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(1)槽、坑回填土(人机配合回填碾压)</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m3</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781</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17</w:t>
            </w:r>
          </w:p>
        </w:tc>
        <w:tc>
          <w:tcPr>
            <w:tcW w:w="722" w:type="pct"/>
            <w:tcBorders>
              <w:top w:val="nil"/>
              <w:left w:val="nil"/>
              <w:bottom w:val="single" w:color="000000" w:sz="8" w:space="0"/>
              <w:right w:val="single" w:color="000000"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填方</w:t>
            </w:r>
          </w:p>
        </w:tc>
        <w:tc>
          <w:tcPr>
            <w:tcW w:w="2941" w:type="pct"/>
            <w:tcBorders>
              <w:top w:val="nil"/>
              <w:left w:val="nil"/>
              <w:bottom w:val="single" w:color="000000" w:sz="8" w:space="0"/>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(1)槽、坑回填砂(人工摊铺机械夯实)</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m3</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314</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18</w:t>
            </w:r>
          </w:p>
        </w:tc>
        <w:tc>
          <w:tcPr>
            <w:tcW w:w="722" w:type="pct"/>
            <w:tcBorders>
              <w:top w:val="nil"/>
              <w:left w:val="nil"/>
              <w:bottom w:val="single" w:color="000000" w:sz="8" w:space="0"/>
              <w:right w:val="single" w:color="000000"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垫层</w:t>
            </w:r>
          </w:p>
        </w:tc>
        <w:tc>
          <w:tcPr>
            <w:tcW w:w="2941" w:type="pct"/>
            <w:tcBorders>
              <w:top w:val="nil"/>
              <w:left w:val="nil"/>
              <w:bottom w:val="single" w:color="000000" w:sz="8" w:space="0"/>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(1)垫层(砂)</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m3</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110</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19</w:t>
            </w:r>
          </w:p>
        </w:tc>
        <w:tc>
          <w:tcPr>
            <w:tcW w:w="722" w:type="pct"/>
            <w:tcBorders>
              <w:top w:val="nil"/>
              <w:left w:val="nil"/>
              <w:bottom w:val="single" w:color="000000" w:sz="8" w:space="0"/>
              <w:right w:val="single" w:color="000000"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余方弃置</w:t>
            </w:r>
          </w:p>
        </w:tc>
        <w:tc>
          <w:tcPr>
            <w:tcW w:w="2941" w:type="pct"/>
            <w:tcBorders>
              <w:top w:val="nil"/>
              <w:left w:val="nil"/>
              <w:bottom w:val="single" w:color="000000" w:sz="8" w:space="0"/>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(1)自卸汽车运土(载重10t以内 运距3km以内)</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m3</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569</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22" w:type="pct"/>
            <w:tcBorders>
              <w:top w:val="nil"/>
              <w:left w:val="nil"/>
              <w:bottom w:val="single" w:color="000000" w:sz="8" w:space="0"/>
              <w:right w:val="single" w:color="000000"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接地母线</w:t>
            </w:r>
          </w:p>
        </w:tc>
        <w:tc>
          <w:tcPr>
            <w:tcW w:w="2941" w:type="pct"/>
            <w:tcBorders>
              <w:top w:val="nil"/>
              <w:left w:val="nil"/>
              <w:bottom w:val="single" w:color="000000" w:sz="8" w:space="0"/>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(1)接地母线敷设(户外接地母线敷设) 40×4热镀锌扁钢</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m</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1101.546</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21</w:t>
            </w:r>
          </w:p>
        </w:tc>
        <w:tc>
          <w:tcPr>
            <w:tcW w:w="722" w:type="pct"/>
            <w:tcBorders>
              <w:top w:val="nil"/>
              <w:left w:val="nil"/>
              <w:bottom w:val="single" w:color="000000" w:sz="8" w:space="0"/>
              <w:right w:val="single" w:color="000000"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联动控制主机（拆除及安装）</w:t>
            </w:r>
          </w:p>
        </w:tc>
        <w:tc>
          <w:tcPr>
            <w:tcW w:w="2941" w:type="pct"/>
            <w:tcBorders>
              <w:top w:val="nil"/>
              <w:left w:val="nil"/>
              <w:bottom w:val="single" w:color="000000" w:sz="8" w:space="0"/>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(1)消防联动控制器(含广播、电话、电源等成套报警设备)（拆除及安装）</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22</w:t>
            </w:r>
          </w:p>
        </w:tc>
        <w:tc>
          <w:tcPr>
            <w:tcW w:w="722" w:type="pct"/>
            <w:tcBorders>
              <w:top w:val="nil"/>
              <w:left w:val="nil"/>
              <w:bottom w:val="single" w:color="000000" w:sz="8" w:space="0"/>
              <w:right w:val="single" w:color="000000"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自动报警系统调试</w:t>
            </w:r>
          </w:p>
        </w:tc>
        <w:tc>
          <w:tcPr>
            <w:tcW w:w="2941" w:type="pct"/>
            <w:tcBorders>
              <w:top w:val="nil"/>
              <w:left w:val="nil"/>
              <w:bottom w:val="single" w:color="000000" w:sz="8" w:space="0"/>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(1)自动报警系统调试(8312点以内)</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系统</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23</w:t>
            </w:r>
          </w:p>
        </w:tc>
        <w:tc>
          <w:tcPr>
            <w:tcW w:w="722" w:type="pct"/>
            <w:tcBorders>
              <w:top w:val="nil"/>
              <w:left w:val="nil"/>
              <w:bottom w:val="single" w:color="000000" w:sz="8" w:space="0"/>
              <w:right w:val="single" w:color="000000"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管道包封</w:t>
            </w:r>
          </w:p>
        </w:tc>
        <w:tc>
          <w:tcPr>
            <w:tcW w:w="2941" w:type="pct"/>
            <w:tcBorders>
              <w:top w:val="nil"/>
              <w:left w:val="nil"/>
              <w:bottom w:val="single" w:color="000000" w:sz="8" w:space="0"/>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管道包封</w:t>
            </w:r>
          </w:p>
        </w:tc>
        <w:tc>
          <w:tcPr>
            <w:tcW w:w="446"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m3</w:t>
            </w:r>
          </w:p>
        </w:tc>
        <w:tc>
          <w:tcPr>
            <w:tcW w:w="552" w:type="pct"/>
            <w:tcBorders>
              <w:top w:val="nil"/>
              <w:left w:val="nil"/>
              <w:bottom w:val="single" w:color="000000"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143</w:t>
            </w:r>
          </w:p>
        </w:tc>
      </w:tr>
      <w:tr>
        <w:tblPrEx>
          <w:tblCellMar>
            <w:top w:w="0" w:type="dxa"/>
            <w:left w:w="108" w:type="dxa"/>
            <w:bottom w:w="0" w:type="dxa"/>
            <w:right w:w="108" w:type="dxa"/>
          </w:tblCellMar>
        </w:tblPrEx>
        <w:trPr>
          <w:trHeight w:val="270" w:hRule="atLeast"/>
        </w:trPr>
        <w:tc>
          <w:tcPr>
            <w:tcW w:w="339" w:type="pct"/>
            <w:tcBorders>
              <w:top w:val="nil"/>
              <w:left w:val="single" w:color="auto" w:sz="8" w:space="0"/>
              <w:bottom w:val="single" w:color="auto" w:sz="8" w:space="0"/>
              <w:right w:val="single" w:color="000000" w:sz="8"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24</w:t>
            </w:r>
          </w:p>
        </w:tc>
        <w:tc>
          <w:tcPr>
            <w:tcW w:w="722" w:type="pct"/>
            <w:tcBorders>
              <w:top w:val="nil"/>
              <w:left w:val="nil"/>
              <w:bottom w:val="single" w:color="auto" w:sz="8" w:space="0"/>
              <w:right w:val="single" w:color="000000"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管枕</w:t>
            </w:r>
          </w:p>
        </w:tc>
        <w:tc>
          <w:tcPr>
            <w:tcW w:w="2941" w:type="pct"/>
            <w:tcBorders>
              <w:top w:val="nil"/>
              <w:left w:val="nil"/>
              <w:bottom w:val="single" w:color="auto" w:sz="8" w:space="0"/>
              <w:right w:val="single" w:color="000000" w:sz="8"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管枕</w:t>
            </w:r>
          </w:p>
        </w:tc>
        <w:tc>
          <w:tcPr>
            <w:tcW w:w="446" w:type="pct"/>
            <w:tcBorders>
              <w:top w:val="nil"/>
              <w:left w:val="nil"/>
              <w:bottom w:val="single" w:color="auto" w:sz="8" w:space="0"/>
              <w:right w:val="single" w:color="000000"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副</w:t>
            </w:r>
          </w:p>
        </w:tc>
        <w:tc>
          <w:tcPr>
            <w:tcW w:w="55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5343</w:t>
            </w:r>
          </w:p>
        </w:tc>
      </w:tr>
    </w:tbl>
    <w:p>
      <w:pPr>
        <w:spacing w:line="360" w:lineRule="auto"/>
        <w:outlineLvl w:val="0"/>
        <w:rPr>
          <w:rFonts w:ascii="宋体" w:hAnsi="宋体" w:eastAsia="宋体" w:cs="宋体"/>
          <w:b w:val="0"/>
          <w:bCs w:val="0"/>
          <w:color w:val="000000" w:themeColor="text1"/>
          <w:kern w:val="0"/>
          <w:sz w:val="24"/>
          <w:szCs w:val="24"/>
          <w:u w:val="single"/>
        </w:rPr>
      </w:pPr>
      <w:r>
        <w:rPr>
          <w:rFonts w:hint="eastAsia" w:ascii="宋体" w:hAnsi="宋体" w:eastAsia="宋体" w:cs="宋体"/>
          <w:b w:val="0"/>
          <w:bCs w:val="0"/>
          <w:color w:val="FF0000"/>
          <w:kern w:val="0"/>
          <w:sz w:val="24"/>
          <w:szCs w:val="24"/>
          <w:u w:val="single"/>
        </w:rPr>
        <w:t>注：(为保证系统兼容性、稳定性，所投交换机应使用同一品牌；所投所有摄像机、磁盘阵列、视频综合平台、流媒体服务器、客流分析服务器应使用同一品牌)。</w:t>
      </w:r>
      <w:r>
        <w:rPr>
          <w:rFonts w:hint="eastAsia" w:ascii="宋体" w:hAnsi="宋体" w:eastAsia="宋体" w:cs="宋体"/>
          <w:b w:val="0"/>
          <w:bCs w:val="0"/>
          <w:color w:val="000000" w:themeColor="text1"/>
          <w:kern w:val="0"/>
          <w:sz w:val="24"/>
          <w:szCs w:val="24"/>
          <w:u w:val="single"/>
        </w:rPr>
        <w:t>各种前端设备以完工后实际安装数量为准，并以实际数量进行结算。</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三、商务条件</w:t>
      </w:r>
    </w:p>
    <w:p>
      <w:pPr>
        <w:widowControl/>
        <w:spacing w:before="75" w:after="75" w:line="400" w:lineRule="exact"/>
        <w:jc w:val="left"/>
        <w:rPr>
          <w:rFonts w:ascii="宋体" w:hAnsi="宋体" w:eastAsia="宋体" w:cs="宋体"/>
          <w:kern w:val="0"/>
          <w:sz w:val="24"/>
          <w:szCs w:val="24"/>
        </w:rPr>
      </w:pPr>
      <w:r>
        <w:rPr>
          <w:rFonts w:hint="eastAsia" w:ascii="宋体" w:hAnsi="宋体" w:eastAsia="宋体" w:cs="宋体"/>
          <w:kern w:val="0"/>
          <w:sz w:val="24"/>
          <w:szCs w:val="24"/>
        </w:rPr>
        <w:t>共一个合同包：</w:t>
      </w:r>
      <w:r>
        <w:rPr>
          <w:rFonts w:ascii="宋体" w:hAnsi="宋体" w:eastAsia="宋体" w:cs="宋体"/>
          <w:kern w:val="0"/>
          <w:sz w:val="24"/>
          <w:szCs w:val="24"/>
        </w:rPr>
        <w:br w:type="textWrapping"/>
      </w:r>
      <w:r>
        <w:rPr>
          <w:rFonts w:ascii="宋体" w:hAnsi="宋体" w:eastAsia="宋体" w:cs="宋体"/>
          <w:kern w:val="0"/>
          <w:sz w:val="24"/>
          <w:szCs w:val="24"/>
        </w:rPr>
        <w:t>1、交付地点：</w:t>
      </w:r>
      <w:r>
        <w:rPr>
          <w:rFonts w:hint="eastAsia" w:ascii="宋体" w:hAnsi="宋体" w:eastAsia="宋体" w:cs="宋体"/>
          <w:kern w:val="0"/>
          <w:sz w:val="24"/>
          <w:szCs w:val="24"/>
        </w:rPr>
        <w:t>项目地点：</w:t>
      </w:r>
      <w:r>
        <w:rPr>
          <w:rFonts w:ascii="宋体" w:hAnsi="宋体" w:eastAsia="宋体" w:cs="宋体"/>
          <w:kern w:val="0"/>
          <w:sz w:val="24"/>
          <w:szCs w:val="24"/>
        </w:rPr>
        <w:t>石狮市石龙路服装城</w:t>
      </w:r>
    </w:p>
    <w:p>
      <w:pPr>
        <w:widowControl/>
        <w:spacing w:before="75" w:after="75" w:line="400" w:lineRule="exact"/>
        <w:jc w:val="left"/>
        <w:rPr>
          <w:rFonts w:ascii="宋体" w:hAnsi="宋体" w:eastAsia="宋体" w:cs="宋体"/>
          <w:kern w:val="0"/>
          <w:sz w:val="24"/>
          <w:szCs w:val="24"/>
        </w:rPr>
      </w:pPr>
      <w:r>
        <w:rPr>
          <w:rFonts w:ascii="宋体" w:hAnsi="宋体" w:eastAsia="宋体" w:cs="宋体"/>
          <w:kern w:val="0"/>
          <w:sz w:val="24"/>
          <w:szCs w:val="24"/>
        </w:rPr>
        <w:t>2、交付时间：合同签订后 (</w:t>
      </w:r>
      <w:r>
        <w:rPr>
          <w:rFonts w:hint="eastAsia" w:ascii="宋体" w:hAnsi="宋体" w:eastAsia="宋体" w:cs="宋体"/>
          <w:kern w:val="0"/>
          <w:sz w:val="24"/>
          <w:szCs w:val="24"/>
        </w:rPr>
        <w:t>90</w:t>
      </w:r>
      <w:r>
        <w:rPr>
          <w:rFonts w:ascii="宋体" w:hAnsi="宋体" w:eastAsia="宋体" w:cs="宋体"/>
          <w:kern w:val="0"/>
          <w:sz w:val="24"/>
          <w:szCs w:val="24"/>
        </w:rPr>
        <w:t>) 天内</w:t>
      </w:r>
      <w:r>
        <w:rPr>
          <w:rFonts w:hint="eastAsia" w:ascii="宋体" w:hAnsi="宋体" w:eastAsia="宋体" w:cs="宋体"/>
          <w:kern w:val="0"/>
          <w:sz w:val="24"/>
          <w:szCs w:val="24"/>
          <w:lang w:eastAsia="zh-CN"/>
        </w:rPr>
        <w:t>完成本项目全部改造并</w:t>
      </w:r>
      <w:r>
        <w:rPr>
          <w:rFonts w:ascii="宋体" w:hAnsi="宋体" w:eastAsia="宋体" w:cs="宋体"/>
          <w:kern w:val="0"/>
          <w:sz w:val="24"/>
          <w:szCs w:val="24"/>
        </w:rPr>
        <w:t>交</w:t>
      </w:r>
      <w:r>
        <w:rPr>
          <w:rFonts w:hint="eastAsia" w:ascii="宋体" w:hAnsi="宋体" w:eastAsia="宋体" w:cs="宋体"/>
          <w:kern w:val="0"/>
          <w:sz w:val="24"/>
          <w:szCs w:val="24"/>
          <w:lang w:eastAsia="zh-CN"/>
        </w:rPr>
        <w:t>付。</w:t>
      </w:r>
      <w:r>
        <w:rPr>
          <w:rFonts w:ascii="宋体" w:hAnsi="宋体" w:eastAsia="宋体" w:cs="宋体"/>
          <w:kern w:val="0"/>
          <w:sz w:val="24"/>
          <w:szCs w:val="24"/>
        </w:rPr>
        <w:br w:type="textWrapping"/>
      </w:r>
      <w:r>
        <w:rPr>
          <w:rFonts w:ascii="宋体" w:hAnsi="宋体" w:eastAsia="宋体" w:cs="宋体"/>
          <w:kern w:val="0"/>
          <w:sz w:val="24"/>
          <w:szCs w:val="24"/>
        </w:rPr>
        <w:t>3、交付条件：由中标人负责在采购单位设备安装现场安装、调试、验收合格</w:t>
      </w:r>
      <w:r>
        <w:rPr>
          <w:rFonts w:hint="eastAsia" w:ascii="宋体" w:hAnsi="宋体" w:eastAsia="宋体" w:cs="宋体"/>
          <w:kern w:val="0"/>
          <w:sz w:val="24"/>
          <w:szCs w:val="24"/>
        </w:rPr>
        <w:t>，经最终验收达到招标要求后</w:t>
      </w:r>
      <w:r>
        <w:rPr>
          <w:rFonts w:ascii="宋体" w:hAnsi="宋体" w:eastAsia="宋体" w:cs="宋体"/>
          <w:kern w:val="0"/>
          <w:sz w:val="24"/>
          <w:szCs w:val="24"/>
        </w:rPr>
        <w:t>交付采购单位使用。</w:t>
      </w:r>
      <w:r>
        <w:rPr>
          <w:rFonts w:hint="eastAsia" w:ascii="宋体" w:hAnsi="宋体" w:eastAsia="宋体" w:cs="宋体"/>
          <w:kern w:val="0"/>
          <w:sz w:val="24"/>
          <w:szCs w:val="24"/>
        </w:rPr>
        <w:t>自最终验收通过之日起，</w:t>
      </w:r>
      <w:r>
        <w:rPr>
          <w:rFonts w:ascii="宋体" w:hAnsi="宋体" w:eastAsia="宋体" w:cs="宋体"/>
          <w:kern w:val="0"/>
          <w:sz w:val="24"/>
          <w:szCs w:val="24"/>
        </w:rPr>
        <w:t>投标人</w:t>
      </w:r>
      <w:r>
        <w:rPr>
          <w:rFonts w:hint="eastAsia" w:ascii="宋体" w:hAnsi="宋体" w:eastAsia="宋体" w:cs="宋体"/>
          <w:kern w:val="0"/>
          <w:sz w:val="24"/>
          <w:szCs w:val="24"/>
        </w:rPr>
        <w:t>须</w:t>
      </w:r>
      <w:r>
        <w:rPr>
          <w:rFonts w:ascii="宋体" w:hAnsi="宋体" w:eastAsia="宋体" w:cs="宋体"/>
          <w:kern w:val="0"/>
          <w:sz w:val="24"/>
          <w:szCs w:val="24"/>
        </w:rPr>
        <w:t>提供</w:t>
      </w:r>
      <w:r>
        <w:rPr>
          <w:rFonts w:hint="eastAsia" w:ascii="宋体" w:hAnsi="宋体" w:eastAsia="宋体" w:cs="宋体"/>
          <w:kern w:val="0"/>
          <w:sz w:val="24"/>
          <w:szCs w:val="24"/>
        </w:rPr>
        <w:t>不少于24</w:t>
      </w:r>
      <w:r>
        <w:rPr>
          <w:rFonts w:ascii="宋体" w:hAnsi="宋体" w:eastAsia="宋体" w:cs="宋体"/>
          <w:kern w:val="0"/>
          <w:sz w:val="24"/>
          <w:szCs w:val="24"/>
        </w:rPr>
        <w:t>个月的</w:t>
      </w:r>
      <w:r>
        <w:rPr>
          <w:rFonts w:hint="eastAsia" w:ascii="宋体" w:hAnsi="宋体" w:eastAsia="宋体" w:cs="宋体"/>
          <w:kern w:val="0"/>
          <w:sz w:val="24"/>
          <w:szCs w:val="24"/>
        </w:rPr>
        <w:t>免费</w:t>
      </w:r>
      <w:r>
        <w:rPr>
          <w:rFonts w:ascii="宋体" w:hAnsi="宋体" w:eastAsia="宋体" w:cs="宋体"/>
          <w:kern w:val="0"/>
          <w:sz w:val="24"/>
          <w:szCs w:val="24"/>
        </w:rPr>
        <w:t>保</w:t>
      </w:r>
      <w:r>
        <w:rPr>
          <w:rFonts w:hint="eastAsia" w:ascii="宋体" w:hAnsi="宋体" w:eastAsia="宋体" w:cs="宋体"/>
          <w:kern w:val="0"/>
          <w:sz w:val="24"/>
          <w:szCs w:val="24"/>
        </w:rPr>
        <w:t>修</w:t>
      </w:r>
      <w:r>
        <w:rPr>
          <w:rFonts w:ascii="宋体" w:hAnsi="宋体" w:eastAsia="宋体" w:cs="宋体"/>
          <w:kern w:val="0"/>
          <w:sz w:val="24"/>
          <w:szCs w:val="24"/>
        </w:rPr>
        <w:t>期。</w:t>
      </w:r>
      <w:r>
        <w:rPr>
          <w:rFonts w:ascii="宋体" w:hAnsi="宋体" w:eastAsia="宋体" w:cs="宋体"/>
          <w:kern w:val="0"/>
          <w:sz w:val="24"/>
          <w:szCs w:val="24"/>
        </w:rPr>
        <w:br w:type="textWrapping"/>
      </w:r>
      <w:r>
        <w:rPr>
          <w:rFonts w:ascii="宋体" w:hAnsi="宋体" w:eastAsia="宋体" w:cs="宋体"/>
          <w:kern w:val="0"/>
          <w:sz w:val="24"/>
          <w:szCs w:val="24"/>
        </w:rPr>
        <w:t>4、是否收取履约保证金： 是。履约保证金百分比：5%。说明：</w:t>
      </w:r>
      <w:r>
        <w:rPr>
          <w:rFonts w:hint="eastAsia" w:ascii="宋体" w:hAnsi="宋体" w:eastAsia="宋体" w:cs="宋体"/>
          <w:kern w:val="0"/>
          <w:sz w:val="24"/>
          <w:szCs w:val="24"/>
        </w:rPr>
        <w:t>①</w:t>
      </w:r>
      <w:r>
        <w:rPr>
          <w:rFonts w:ascii="宋体" w:hAnsi="宋体" w:eastAsia="宋体" w:cs="宋体"/>
          <w:kern w:val="0"/>
          <w:sz w:val="24"/>
          <w:szCs w:val="24"/>
        </w:rPr>
        <w:t>中标方在签定合同时必须向甲方提交履约保证金，在《中标通知书》发出之日5个工作日内，中标方向甲方提交中标金额5%的履约保证金，并且作为双方签订合同后直接作为质量保证金。</w:t>
      </w:r>
      <w:r>
        <w:rPr>
          <w:rFonts w:hint="eastAsia" w:ascii="宋体" w:hAnsi="宋体" w:eastAsia="宋体" w:cs="宋体"/>
          <w:kern w:val="0"/>
          <w:sz w:val="24"/>
          <w:szCs w:val="24"/>
        </w:rPr>
        <w:t>②</w:t>
      </w:r>
      <w:r>
        <w:rPr>
          <w:rFonts w:ascii="宋体" w:hAnsi="宋体" w:eastAsia="宋体" w:cs="宋体"/>
          <w:kern w:val="0"/>
          <w:sz w:val="24"/>
          <w:szCs w:val="24"/>
        </w:rPr>
        <w:t>履约保证金在货物免费保修期满后30日内予以无息付清</w:t>
      </w:r>
      <w:r>
        <w:rPr>
          <w:rFonts w:hint="eastAsia" w:ascii="宋体" w:hAnsi="宋体" w:eastAsia="宋体" w:cs="宋体"/>
          <w:kern w:val="0"/>
          <w:sz w:val="24"/>
          <w:szCs w:val="24"/>
        </w:rPr>
        <w:t>（</w:t>
      </w:r>
      <w:r>
        <w:rPr>
          <w:rFonts w:ascii="宋体" w:hAnsi="宋体" w:eastAsia="宋体" w:cs="宋体"/>
          <w:kern w:val="0"/>
          <w:sz w:val="24"/>
          <w:szCs w:val="24"/>
        </w:rPr>
        <w:t>期间无较大质量或售后服务问题</w:t>
      </w:r>
      <w:r>
        <w:rPr>
          <w:rFonts w:hint="eastAsia" w:ascii="宋体" w:hAnsi="宋体" w:eastAsia="宋体" w:cs="宋体"/>
          <w:kern w:val="0"/>
          <w:sz w:val="24"/>
          <w:szCs w:val="24"/>
        </w:rPr>
        <w:t>）</w:t>
      </w:r>
      <w:r>
        <w:rPr>
          <w:rFonts w:ascii="宋体" w:hAnsi="宋体" w:eastAsia="宋体" w:cs="宋体"/>
          <w:kern w:val="0"/>
          <w:sz w:val="24"/>
          <w:szCs w:val="24"/>
        </w:rPr>
        <w:t>。</w:t>
      </w:r>
      <w:r>
        <w:rPr>
          <w:rFonts w:hint="eastAsia" w:ascii="宋体" w:hAnsi="宋体" w:eastAsia="宋体" w:cs="宋体"/>
          <w:kern w:val="0"/>
          <w:sz w:val="24"/>
          <w:szCs w:val="24"/>
        </w:rPr>
        <w:t>③</w:t>
      </w:r>
      <w:r>
        <w:rPr>
          <w:rFonts w:ascii="宋体" w:hAnsi="宋体" w:eastAsia="宋体" w:cs="宋体"/>
          <w:kern w:val="0"/>
          <w:sz w:val="24"/>
          <w:szCs w:val="24"/>
        </w:rPr>
        <w:t>该履约及维护保证金应在签订合同前提交，提交方式为：电汇</w:t>
      </w:r>
      <w:r>
        <w:rPr>
          <w:rFonts w:hint="eastAsia" w:ascii="宋体" w:hAnsi="宋体" w:eastAsia="宋体" w:cs="宋体"/>
          <w:kern w:val="0"/>
          <w:sz w:val="24"/>
          <w:szCs w:val="24"/>
        </w:rPr>
        <w:t>、</w:t>
      </w:r>
      <w:r>
        <w:rPr>
          <w:rFonts w:ascii="宋体" w:hAnsi="宋体" w:eastAsia="宋体" w:cs="宋体"/>
          <w:kern w:val="0"/>
          <w:sz w:val="24"/>
          <w:szCs w:val="24"/>
        </w:rPr>
        <w:t>银行转账。</w:t>
      </w:r>
      <w:r>
        <w:rPr>
          <w:rFonts w:ascii="宋体" w:hAnsi="宋体" w:eastAsia="宋体" w:cs="宋体"/>
          <w:kern w:val="0"/>
          <w:sz w:val="24"/>
          <w:szCs w:val="24"/>
        </w:rPr>
        <w:br w:type="textWrapping"/>
      </w:r>
      <w:r>
        <w:rPr>
          <w:rFonts w:ascii="宋体" w:hAnsi="宋体" w:eastAsia="宋体" w:cs="宋体"/>
          <w:kern w:val="0"/>
          <w:sz w:val="24"/>
          <w:szCs w:val="24"/>
        </w:rPr>
        <w:t>5、是否邀请</w:t>
      </w:r>
      <w:r>
        <w:rPr>
          <w:rFonts w:hint="eastAsia" w:ascii="宋体" w:hAnsi="宋体" w:eastAsia="宋体" w:cs="宋体"/>
          <w:kern w:val="0"/>
          <w:sz w:val="24"/>
          <w:szCs w:val="24"/>
        </w:rPr>
        <w:t>其他</w:t>
      </w:r>
      <w:r>
        <w:rPr>
          <w:rFonts w:ascii="宋体" w:hAnsi="宋体" w:eastAsia="宋体" w:cs="宋体"/>
          <w:kern w:val="0"/>
          <w:sz w:val="24"/>
          <w:szCs w:val="24"/>
        </w:rPr>
        <w:t>投标人参与验收：否</w:t>
      </w:r>
      <w:r>
        <w:rPr>
          <w:rFonts w:hint="eastAsia" w:ascii="宋体" w:hAnsi="宋体" w:eastAsia="宋体" w:cs="宋体"/>
          <w:kern w:val="0"/>
          <w:sz w:val="24"/>
          <w:szCs w:val="24"/>
        </w:rPr>
        <w:t>。</w:t>
      </w:r>
      <w:r>
        <w:rPr>
          <w:rFonts w:ascii="宋体" w:hAnsi="宋体" w:eastAsia="宋体" w:cs="宋体"/>
          <w:kern w:val="0"/>
          <w:sz w:val="24"/>
          <w:szCs w:val="24"/>
        </w:rPr>
        <w:br w:type="textWrapping"/>
      </w:r>
      <w:r>
        <w:rPr>
          <w:rFonts w:ascii="宋体" w:hAnsi="宋体" w:eastAsia="宋体" w:cs="宋体"/>
          <w:kern w:val="0"/>
          <w:sz w:val="24"/>
          <w:szCs w:val="24"/>
        </w:rPr>
        <w:t xml:space="preserve">6、验收方式数据表格 </w:t>
      </w:r>
    </w:p>
    <w:tbl>
      <w:tblPr>
        <w:tblStyle w:val="16"/>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验收期次</w:t>
            </w:r>
          </w:p>
        </w:tc>
        <w:tc>
          <w:tcPr>
            <w:tcW w:w="4000" w:type="pct"/>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①验收标准：</w:t>
            </w:r>
            <w:r>
              <w:rPr>
                <w:rFonts w:hint="eastAsia" w:ascii="宋体" w:hAnsi="宋体" w:eastAsia="宋体" w:cs="宋体"/>
                <w:b w:val="0"/>
                <w:bCs w:val="0"/>
                <w:color w:val="000000" w:themeColor="text1"/>
                <w:kern w:val="0"/>
                <w:sz w:val="24"/>
                <w:szCs w:val="24"/>
              </w:rPr>
              <w:t>本项目施工将另行委托监理单位，采购人可邀请监理单位参与施工部分验收。</w:t>
            </w:r>
            <w:r>
              <w:rPr>
                <w:rFonts w:hint="eastAsia" w:ascii="宋体" w:hAnsi="宋体" w:eastAsia="宋体" w:cs="宋体"/>
                <w:color w:val="000000" w:themeColor="text1"/>
                <w:kern w:val="0"/>
                <w:sz w:val="24"/>
                <w:szCs w:val="24"/>
              </w:rPr>
              <w:t>验收按照生产厂家的产品标准和国家有关标准以及招标文件第五章“招标内容及技术规范”规定。</w:t>
            </w:r>
          </w:p>
          <w:p>
            <w:pPr>
              <w:widowControl/>
              <w:spacing w:line="400" w:lineRule="exac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验收程序：货物验收分出厂检验、货到初步验收及最终验收三个阶段。</w:t>
            </w:r>
          </w:p>
          <w:p>
            <w:pPr>
              <w:widowControl/>
              <w:spacing w:line="400" w:lineRule="exac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a.出厂检验:中标人在货物出厂前,应按产品技术标准规定的检验项目和试验方法进行全面检验，中标人应随同货物提供出厂检验报告、产品质量合格证。属进口货物的应有报关单。中标人在产品生产过程中，采购人可根据实际情况到工厂对货物的生产过程及质量进行查验。查验中若发现中标人没有按照招标文件的要求和投标承诺履行合同，采购人有权终止合同，没收中标人提供的履约保证金，并要求中标人赔偿由此造成的损失。</w:t>
            </w:r>
          </w:p>
          <w:p>
            <w:pPr>
              <w:widowControl/>
              <w:spacing w:line="400" w:lineRule="exac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b.货到初步验收：货物运达采购人安装现场后，由采购人会同监理等有关部门进行基本质量和数量及规格型号的验收（但不作为最终合格的保证）。该验收应达到合同规定的要求。供应 商对安装调度过程，应作详细检验记录。安装调试检验结果应符合中标人产品标准，并提供自检报告。检验记录须提供给相关单位。</w:t>
            </w:r>
          </w:p>
          <w:p>
            <w:pPr>
              <w:widowControl/>
              <w:spacing w:line="400" w:lineRule="exac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c.最终验收：设备安装调试和试运行结束后，由采购人负责联系有关部门，并会同供应商按规定的标准要求进行联合验收，验收合格后签发《验收报告》。最终验收后一周内如发现货物质量问题，中标供应商应在24小时内无条件免费更换货物。</w:t>
            </w:r>
          </w:p>
          <w:p>
            <w:pPr>
              <w:widowControl/>
              <w:spacing w:line="400" w:lineRule="exact"/>
              <w:ind w:firstLine="240" w:firstLineChars="10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验收费用由中标人承担。</w:t>
            </w:r>
          </w:p>
        </w:tc>
      </w:tr>
    </w:tbl>
    <w:p>
      <w:pPr>
        <w:widowControl/>
        <w:spacing w:line="400" w:lineRule="exact"/>
        <w:jc w:val="left"/>
        <w:rPr>
          <w:rFonts w:ascii="宋体" w:hAnsi="宋体" w:eastAsia="宋体" w:cs="宋体"/>
          <w:b/>
          <w:bCs/>
          <w:color w:val="000000" w:themeColor="text1"/>
          <w:kern w:val="0"/>
          <w:sz w:val="24"/>
          <w:szCs w:val="24"/>
        </w:rPr>
      </w:pPr>
      <w:r>
        <w:rPr>
          <w:rFonts w:ascii="宋体" w:hAnsi="宋体" w:eastAsia="宋体" w:cs="宋体"/>
          <w:b/>
          <w:bCs/>
          <w:color w:val="000000" w:themeColor="text1"/>
          <w:kern w:val="0"/>
          <w:sz w:val="24"/>
          <w:szCs w:val="24"/>
        </w:rPr>
        <w:t xml:space="preserve">7、支付方式数据表格 </w:t>
      </w:r>
    </w:p>
    <w:tbl>
      <w:tblPr>
        <w:tblStyle w:val="16"/>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002"/>
        <w:gridCol w:w="1276"/>
        <w:gridCol w:w="605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601" w:type="pct"/>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支付期次</w:t>
            </w:r>
          </w:p>
        </w:tc>
        <w:tc>
          <w:tcPr>
            <w:tcW w:w="765" w:type="pct"/>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支付比例(%)</w:t>
            </w:r>
          </w:p>
        </w:tc>
        <w:tc>
          <w:tcPr>
            <w:tcW w:w="3633" w:type="pct"/>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01" w:type="pct"/>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w:t>
            </w:r>
          </w:p>
        </w:tc>
        <w:tc>
          <w:tcPr>
            <w:tcW w:w="765" w:type="pct"/>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20</w:t>
            </w:r>
          </w:p>
        </w:tc>
        <w:tc>
          <w:tcPr>
            <w:tcW w:w="3633" w:type="pct"/>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1.合同签订并收到中标人的履约保证金后15个工作日内，支付合同总金额20%合同款（中标人须提供等额保函，且有效期不少于3个月）。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00" w:hRule="atLeast"/>
          <w:tblCellSpacing w:w="0" w:type="dxa"/>
        </w:trPr>
        <w:tc>
          <w:tcPr>
            <w:tcW w:w="601" w:type="pct"/>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p>
          <w:p>
            <w:pPr>
              <w:widowControl/>
              <w:spacing w:line="400" w:lineRule="exact"/>
              <w:jc w:val="left"/>
              <w:rPr>
                <w:rFonts w:ascii="宋体" w:hAnsi="宋体" w:eastAsia="宋体" w:cs="宋体"/>
                <w:color w:val="000000" w:themeColor="text1"/>
                <w:kern w:val="0"/>
                <w:sz w:val="24"/>
                <w:szCs w:val="24"/>
              </w:rPr>
            </w:pPr>
          </w:p>
        </w:tc>
        <w:tc>
          <w:tcPr>
            <w:tcW w:w="765" w:type="pct"/>
            <w:tcBorders>
              <w:top w:val="outset" w:color="auto" w:sz="6" w:space="0"/>
              <w:left w:val="outset" w:color="auto" w:sz="6" w:space="0"/>
              <w:right w:val="outset" w:color="auto" w:sz="6" w:space="0"/>
            </w:tcBorders>
            <w:vAlign w:val="center"/>
          </w:tcPr>
          <w:p>
            <w:pPr>
              <w:widowControl/>
              <w:spacing w:line="400" w:lineRule="exac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50</w:t>
            </w:r>
          </w:p>
          <w:p>
            <w:pPr>
              <w:widowControl/>
              <w:spacing w:line="400" w:lineRule="exact"/>
              <w:jc w:val="left"/>
              <w:rPr>
                <w:rFonts w:ascii="宋体" w:hAnsi="宋体" w:eastAsia="宋体" w:cs="宋体"/>
                <w:color w:val="000000" w:themeColor="text1"/>
                <w:kern w:val="0"/>
                <w:sz w:val="24"/>
                <w:szCs w:val="24"/>
              </w:rPr>
            </w:pPr>
          </w:p>
        </w:tc>
        <w:tc>
          <w:tcPr>
            <w:tcW w:w="3633" w:type="pct"/>
            <w:tcBorders>
              <w:top w:val="outset" w:color="auto" w:sz="6" w:space="0"/>
              <w:left w:val="outset" w:color="auto" w:sz="6" w:space="0"/>
              <w:right w:val="outset" w:color="auto" w:sz="6" w:space="0"/>
            </w:tcBorders>
            <w:vAlign w:val="center"/>
          </w:tcPr>
          <w:p>
            <w:pPr>
              <w:widowControl/>
              <w:spacing w:line="400" w:lineRule="exac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2.本次项目管路和线缆材料全部进场并铺设至90%，项目的主要智能化设备（安防设备、网络设备、服务器等）进场后15个工作日内，支付合同总金额50%合同款。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01" w:type="pct"/>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p>
        </w:tc>
        <w:tc>
          <w:tcPr>
            <w:tcW w:w="765" w:type="pct"/>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30</w:t>
            </w:r>
          </w:p>
        </w:tc>
        <w:tc>
          <w:tcPr>
            <w:tcW w:w="3633" w:type="pct"/>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3.本项经验收合格后15个工作日内支付合同款的30%，中标人的履约保证金转为项目质保金。</w:t>
            </w:r>
          </w:p>
        </w:tc>
      </w:tr>
    </w:tbl>
    <w:p>
      <w:pPr>
        <w:widowControl/>
        <w:shd w:val="clear" w:color="auto" w:fill="FFFFFF"/>
        <w:spacing w:before="45" w:after="45" w:line="240" w:lineRule="atLeast"/>
        <w:ind w:firstLine="270"/>
        <w:jc w:val="left"/>
        <w:rPr>
          <w:rFonts w:ascii="宋体" w:hAnsi="宋体" w:eastAsia="宋体" w:cs="宋体"/>
          <w:b/>
          <w:bCs/>
          <w:color w:val="000000" w:themeColor="text1"/>
          <w:kern w:val="0"/>
          <w:sz w:val="24"/>
          <w:szCs w:val="24"/>
        </w:rPr>
      </w:pPr>
    </w:p>
    <w:p>
      <w:pPr>
        <w:widowControl/>
        <w:shd w:val="clear" w:color="auto" w:fill="FFFFFF"/>
        <w:spacing w:before="45" w:after="45" w:line="240" w:lineRule="atLeast"/>
        <w:ind w:firstLine="270"/>
        <w:jc w:val="left"/>
        <w:rPr>
          <w:rFonts w:ascii="宋体" w:hAnsi="宋体" w:eastAsia="宋体" w:cs="宋体"/>
          <w:b/>
          <w:bCs/>
          <w:color w:val="393939"/>
          <w:kern w:val="0"/>
          <w:sz w:val="24"/>
          <w:szCs w:val="24"/>
        </w:rPr>
      </w:pPr>
      <w:r>
        <w:rPr>
          <w:rFonts w:hint="eastAsia" w:ascii="宋体" w:hAnsi="宋体" w:eastAsia="宋体" w:cs="宋体"/>
          <w:b/>
          <w:bCs/>
          <w:color w:val="000000" w:themeColor="text1"/>
          <w:kern w:val="0"/>
          <w:sz w:val="24"/>
          <w:szCs w:val="24"/>
        </w:rPr>
        <w:t>四、其他要求：</w:t>
      </w:r>
    </w:p>
    <w:p>
      <w:pPr>
        <w:widowControl/>
        <w:shd w:val="clear" w:color="auto" w:fill="FFFFFF"/>
        <w:spacing w:before="45" w:after="45" w:line="240" w:lineRule="atLeast"/>
        <w:ind w:firstLine="270"/>
        <w:jc w:val="left"/>
        <w:rPr>
          <w:rFonts w:ascii="微软雅黑" w:hAnsi="微软雅黑" w:eastAsia="微软雅黑" w:cs="宋体"/>
          <w:kern w:val="0"/>
          <w:sz w:val="24"/>
          <w:szCs w:val="24"/>
        </w:rPr>
      </w:pPr>
      <w:r>
        <w:rPr>
          <w:rFonts w:hint="eastAsia" w:ascii="宋体" w:hAnsi="宋体" w:eastAsia="宋体" w:cs="宋体"/>
          <w:b/>
          <w:bCs/>
          <w:color w:val="393939"/>
          <w:kern w:val="0"/>
          <w:sz w:val="24"/>
          <w:szCs w:val="24"/>
        </w:rPr>
        <w:t>（一）投标人的工作范围</w:t>
      </w:r>
    </w:p>
    <w:p>
      <w:pPr>
        <w:widowControl/>
        <w:shd w:val="clear" w:color="auto" w:fill="FFFFFF"/>
        <w:spacing w:before="45" w:after="45" w:line="240" w:lineRule="atLeast"/>
        <w:ind w:firstLine="270"/>
        <w:jc w:val="left"/>
        <w:rPr>
          <w:rFonts w:ascii="微软雅黑" w:hAnsi="微软雅黑" w:eastAsia="微软雅黑" w:cs="宋体"/>
          <w:kern w:val="0"/>
          <w:sz w:val="24"/>
          <w:szCs w:val="24"/>
        </w:rPr>
      </w:pPr>
      <w:r>
        <w:rPr>
          <w:rFonts w:ascii="Tahoma" w:hAnsi="Tahoma" w:eastAsia="微软雅黑" w:cs="Tahoma"/>
          <w:color w:val="393939"/>
          <w:kern w:val="0"/>
          <w:sz w:val="24"/>
          <w:szCs w:val="24"/>
        </w:rPr>
        <w:t>1.1</w:t>
      </w:r>
      <w:r>
        <w:rPr>
          <w:rFonts w:hint="eastAsia" w:ascii="宋体" w:hAnsi="宋体" w:eastAsia="宋体" w:cs="宋体"/>
          <w:color w:val="393939"/>
          <w:kern w:val="0"/>
          <w:sz w:val="24"/>
          <w:szCs w:val="24"/>
        </w:rPr>
        <w:t> 投标人必须能提供《采购标的一览表》中的全部货物。</w:t>
      </w:r>
    </w:p>
    <w:p>
      <w:pPr>
        <w:widowControl/>
        <w:shd w:val="clear" w:color="auto" w:fill="FFFFFF"/>
        <w:spacing w:before="45" w:after="45" w:line="240" w:lineRule="atLeast"/>
        <w:ind w:firstLine="270"/>
        <w:jc w:val="left"/>
        <w:rPr>
          <w:rFonts w:ascii="微软雅黑" w:hAnsi="微软雅黑" w:eastAsia="微软雅黑" w:cs="宋体"/>
          <w:kern w:val="0"/>
          <w:sz w:val="24"/>
          <w:szCs w:val="24"/>
        </w:rPr>
      </w:pPr>
      <w:r>
        <w:rPr>
          <w:rFonts w:ascii="Tahoma" w:hAnsi="Tahoma" w:eastAsia="微软雅黑" w:cs="Tahoma"/>
          <w:color w:val="393939"/>
          <w:kern w:val="0"/>
          <w:sz w:val="24"/>
          <w:szCs w:val="24"/>
        </w:rPr>
        <w:t>1.2</w:t>
      </w:r>
      <w:r>
        <w:rPr>
          <w:rFonts w:hint="eastAsia" w:ascii="宋体" w:hAnsi="宋体" w:eastAsia="宋体" w:cs="宋体"/>
          <w:color w:val="393939"/>
          <w:kern w:val="0"/>
          <w:sz w:val="24"/>
          <w:szCs w:val="24"/>
        </w:rPr>
        <w:t> 投标人拟提供货物须为全新未使用的合格产品。设备的铭牌、使用指示、警告指示应以中文或英文、易懂的通用符号来表示，应能够准确无误地表示设备的型号、规格、制造商等内容。</w:t>
      </w:r>
    </w:p>
    <w:p>
      <w:pPr>
        <w:widowControl/>
        <w:shd w:val="clear" w:color="auto" w:fill="FFFFFF"/>
        <w:spacing w:before="45" w:after="45" w:line="240" w:lineRule="atLeast"/>
        <w:ind w:firstLine="270"/>
        <w:jc w:val="left"/>
        <w:rPr>
          <w:rFonts w:ascii="微软雅黑" w:hAnsi="微软雅黑" w:eastAsia="微软雅黑" w:cs="宋体"/>
          <w:kern w:val="0"/>
          <w:sz w:val="24"/>
          <w:szCs w:val="24"/>
        </w:rPr>
      </w:pPr>
      <w:r>
        <w:rPr>
          <w:rFonts w:ascii="Tahoma" w:hAnsi="Tahoma" w:eastAsia="微软雅黑" w:cs="Tahoma"/>
          <w:color w:val="393939"/>
          <w:kern w:val="0"/>
          <w:sz w:val="24"/>
          <w:szCs w:val="24"/>
        </w:rPr>
        <w:t>1.3</w:t>
      </w:r>
      <w:r>
        <w:rPr>
          <w:rFonts w:hint="eastAsia" w:ascii="宋体" w:hAnsi="宋体" w:eastAsia="宋体" w:cs="宋体"/>
          <w:color w:val="393939"/>
          <w:kern w:val="0"/>
          <w:sz w:val="24"/>
          <w:szCs w:val="24"/>
        </w:rPr>
        <w:t>要求投标人提供的其它伴随服务（或义务）</w:t>
      </w:r>
    </w:p>
    <w:p>
      <w:pPr>
        <w:widowControl/>
        <w:shd w:val="clear" w:color="auto" w:fill="FFFFFF"/>
        <w:spacing w:before="45" w:after="45" w:line="240" w:lineRule="atLeast"/>
        <w:ind w:firstLine="270"/>
        <w:jc w:val="left"/>
        <w:rPr>
          <w:rFonts w:ascii="微软雅黑" w:hAnsi="微软雅黑" w:eastAsia="微软雅黑" w:cs="宋体"/>
          <w:kern w:val="0"/>
          <w:sz w:val="24"/>
          <w:szCs w:val="24"/>
        </w:rPr>
      </w:pPr>
      <w:r>
        <w:rPr>
          <w:rFonts w:ascii="Tahoma" w:hAnsi="Tahoma" w:eastAsia="微软雅黑" w:cs="Tahoma"/>
          <w:color w:val="393939"/>
          <w:kern w:val="0"/>
          <w:sz w:val="24"/>
          <w:szCs w:val="24"/>
        </w:rPr>
        <w:t>1.3.1</w:t>
      </w:r>
      <w:r>
        <w:rPr>
          <w:rFonts w:hint="eastAsia" w:ascii="宋体" w:hAnsi="宋体" w:eastAsia="宋体" w:cs="宋体"/>
          <w:color w:val="393939"/>
          <w:kern w:val="0"/>
          <w:sz w:val="24"/>
          <w:szCs w:val="24"/>
        </w:rPr>
        <w:t>供货</w:t>
      </w:r>
    </w:p>
    <w:p>
      <w:pPr>
        <w:widowControl/>
        <w:shd w:val="clear" w:color="auto" w:fill="FFFFFF"/>
        <w:spacing w:before="45" w:after="45" w:line="240" w:lineRule="atLeast"/>
        <w:ind w:firstLine="270"/>
        <w:jc w:val="left"/>
        <w:rPr>
          <w:rFonts w:ascii="微软雅黑" w:hAnsi="微软雅黑" w:eastAsia="微软雅黑" w:cs="宋体"/>
          <w:kern w:val="0"/>
          <w:sz w:val="24"/>
          <w:szCs w:val="24"/>
        </w:rPr>
      </w:pPr>
      <w:r>
        <w:rPr>
          <w:rFonts w:hint="eastAsia" w:ascii="宋体" w:hAnsi="宋体" w:eastAsia="宋体" w:cs="宋体"/>
          <w:color w:val="393939"/>
          <w:kern w:val="0"/>
          <w:sz w:val="24"/>
          <w:szCs w:val="24"/>
        </w:rPr>
        <w:t>投标人必须能按照合同的规定，准时提供货物、配件、材料、工具，并负责所供设备、配件、材料及工具的包装和运输。</w:t>
      </w:r>
    </w:p>
    <w:p>
      <w:pPr>
        <w:widowControl/>
        <w:shd w:val="clear" w:color="auto" w:fill="FFFFFF"/>
        <w:spacing w:before="45" w:after="45" w:line="240" w:lineRule="atLeast"/>
        <w:ind w:firstLine="270"/>
        <w:jc w:val="left"/>
        <w:rPr>
          <w:rFonts w:ascii="微软雅黑" w:hAnsi="微软雅黑" w:eastAsia="微软雅黑" w:cs="宋体"/>
          <w:kern w:val="0"/>
          <w:sz w:val="24"/>
          <w:szCs w:val="24"/>
        </w:rPr>
      </w:pPr>
      <w:r>
        <w:rPr>
          <w:rFonts w:ascii="Tahoma" w:hAnsi="Tahoma" w:eastAsia="微软雅黑" w:cs="Tahoma"/>
          <w:color w:val="393939"/>
          <w:kern w:val="0"/>
          <w:sz w:val="24"/>
          <w:szCs w:val="24"/>
        </w:rPr>
        <w:t>1.3.2</w:t>
      </w:r>
      <w:r>
        <w:rPr>
          <w:rFonts w:hint="eastAsia" w:ascii="宋体" w:hAnsi="宋体" w:eastAsia="宋体" w:cs="宋体"/>
          <w:color w:val="393939"/>
          <w:kern w:val="0"/>
          <w:sz w:val="24"/>
          <w:szCs w:val="24"/>
        </w:rPr>
        <w:t> 安装及调试</w:t>
      </w:r>
    </w:p>
    <w:p>
      <w:pPr>
        <w:widowControl/>
        <w:shd w:val="clear" w:color="auto" w:fill="FFFFFF"/>
        <w:spacing w:before="45" w:after="45" w:line="240" w:lineRule="atLeast"/>
        <w:ind w:firstLine="270"/>
        <w:jc w:val="left"/>
        <w:rPr>
          <w:rFonts w:ascii="微软雅黑" w:hAnsi="微软雅黑" w:eastAsia="微软雅黑" w:cs="宋体"/>
          <w:kern w:val="0"/>
          <w:sz w:val="24"/>
          <w:szCs w:val="24"/>
        </w:rPr>
      </w:pPr>
      <w:r>
        <w:rPr>
          <w:rFonts w:hint="eastAsia" w:ascii="宋体" w:hAnsi="宋体" w:eastAsia="宋体" w:cs="宋体"/>
          <w:color w:val="393939"/>
          <w:kern w:val="0"/>
          <w:sz w:val="24"/>
          <w:szCs w:val="24"/>
        </w:rPr>
        <w:t>①所有货物均由中标人进行安装。中标人应派技术人员进行整机安装、系统集成、调试及试运行。安装调试人员为中标人派出的高水平技术人员。</w:t>
      </w:r>
    </w:p>
    <w:p>
      <w:pPr>
        <w:widowControl/>
        <w:shd w:val="clear" w:color="auto" w:fill="FFFFFF"/>
        <w:spacing w:before="45" w:after="45" w:line="240" w:lineRule="atLeast"/>
        <w:ind w:firstLine="270"/>
        <w:jc w:val="left"/>
        <w:rPr>
          <w:rFonts w:ascii="微软雅黑" w:hAnsi="微软雅黑" w:eastAsia="微软雅黑" w:cs="宋体"/>
          <w:kern w:val="0"/>
          <w:sz w:val="24"/>
          <w:szCs w:val="24"/>
        </w:rPr>
      </w:pPr>
      <w:r>
        <w:rPr>
          <w:rFonts w:ascii="Tahoma" w:hAnsi="Tahoma" w:eastAsia="微软雅黑" w:cs="Tahoma"/>
          <w:color w:val="393939"/>
          <w:kern w:val="0"/>
          <w:sz w:val="24"/>
          <w:szCs w:val="24"/>
        </w:rPr>
        <w:t>1.3.3</w:t>
      </w:r>
      <w:r>
        <w:rPr>
          <w:rFonts w:hint="eastAsia" w:ascii="宋体" w:hAnsi="宋体" w:eastAsia="宋体" w:cs="宋体"/>
          <w:color w:val="393939"/>
          <w:kern w:val="0"/>
          <w:sz w:val="24"/>
          <w:szCs w:val="24"/>
        </w:rPr>
        <w:t>验收</w:t>
      </w:r>
    </w:p>
    <w:p>
      <w:pPr>
        <w:widowControl/>
        <w:shd w:val="clear" w:color="auto" w:fill="FFFFFF"/>
        <w:spacing w:before="45" w:after="45" w:line="240" w:lineRule="atLeast"/>
        <w:ind w:firstLine="270"/>
        <w:jc w:val="left"/>
        <w:rPr>
          <w:rFonts w:ascii="微软雅黑" w:hAnsi="微软雅黑" w:eastAsia="微软雅黑" w:cs="宋体"/>
          <w:kern w:val="0"/>
          <w:sz w:val="24"/>
          <w:szCs w:val="24"/>
        </w:rPr>
      </w:pPr>
      <w:r>
        <w:rPr>
          <w:rFonts w:hint="eastAsia" w:ascii="宋体" w:hAnsi="宋体" w:eastAsia="宋体" w:cs="宋体"/>
          <w:color w:val="393939"/>
          <w:kern w:val="0"/>
          <w:sz w:val="24"/>
          <w:szCs w:val="24"/>
        </w:rPr>
        <w:t>①验收标准：验收按照生产厂家的产品标准和国家有关标准以及招标文件第五章“招标内容及技术规范”规定。</w:t>
      </w:r>
    </w:p>
    <w:p>
      <w:pPr>
        <w:widowControl/>
        <w:shd w:val="clear" w:color="auto" w:fill="FFFFFF"/>
        <w:spacing w:before="45" w:after="45" w:line="240" w:lineRule="atLeast"/>
        <w:ind w:firstLine="270"/>
        <w:jc w:val="left"/>
        <w:rPr>
          <w:rFonts w:ascii="微软雅黑" w:hAnsi="微软雅黑" w:eastAsia="微软雅黑" w:cs="宋体"/>
          <w:kern w:val="0"/>
          <w:sz w:val="24"/>
          <w:szCs w:val="24"/>
        </w:rPr>
      </w:pPr>
      <w:r>
        <w:rPr>
          <w:rFonts w:hint="eastAsia" w:ascii="宋体" w:hAnsi="宋体" w:eastAsia="宋体" w:cs="宋体"/>
          <w:color w:val="393939"/>
          <w:kern w:val="0"/>
          <w:sz w:val="24"/>
          <w:szCs w:val="24"/>
        </w:rPr>
        <w:t>验收程序：货物验收分出厂检验、货到初步验收及最终验收三个阶段。</w:t>
      </w:r>
    </w:p>
    <w:p>
      <w:pPr>
        <w:widowControl/>
        <w:shd w:val="clear" w:color="auto" w:fill="FFFFFF"/>
        <w:spacing w:before="45" w:after="45" w:line="240" w:lineRule="atLeast"/>
        <w:ind w:firstLine="270"/>
        <w:jc w:val="left"/>
        <w:rPr>
          <w:rFonts w:ascii="微软雅黑" w:hAnsi="微软雅黑" w:eastAsia="微软雅黑" w:cs="宋体"/>
          <w:kern w:val="0"/>
          <w:sz w:val="24"/>
          <w:szCs w:val="24"/>
        </w:rPr>
      </w:pPr>
      <w:r>
        <w:rPr>
          <w:rFonts w:hint="eastAsia" w:ascii="宋体" w:hAnsi="宋体" w:eastAsia="宋体" w:cs="宋体"/>
          <w:color w:val="393939"/>
          <w:kern w:val="0"/>
          <w:sz w:val="24"/>
          <w:szCs w:val="24"/>
        </w:rPr>
        <w:t> </w:t>
      </w:r>
      <w:r>
        <w:rPr>
          <w:rFonts w:ascii="Tahoma" w:hAnsi="Tahoma" w:eastAsia="微软雅黑" w:cs="Tahoma"/>
          <w:color w:val="393939"/>
          <w:kern w:val="0"/>
          <w:sz w:val="24"/>
          <w:szCs w:val="24"/>
        </w:rPr>
        <w:t>a.</w:t>
      </w:r>
      <w:r>
        <w:rPr>
          <w:rFonts w:hint="eastAsia" w:ascii="宋体" w:hAnsi="宋体" w:eastAsia="宋体" w:cs="宋体"/>
          <w:color w:val="393939"/>
          <w:kern w:val="0"/>
          <w:sz w:val="24"/>
          <w:szCs w:val="24"/>
        </w:rPr>
        <w:t>出厂检验</w:t>
      </w:r>
      <w:r>
        <w:rPr>
          <w:rFonts w:ascii="Tahoma" w:hAnsi="Tahoma" w:eastAsia="微软雅黑" w:cs="Tahoma"/>
          <w:color w:val="393939"/>
          <w:kern w:val="0"/>
          <w:sz w:val="24"/>
          <w:szCs w:val="24"/>
        </w:rPr>
        <w:t>:</w:t>
      </w:r>
      <w:r>
        <w:rPr>
          <w:rFonts w:hint="eastAsia" w:ascii="宋体" w:hAnsi="宋体" w:eastAsia="宋体" w:cs="宋体"/>
          <w:color w:val="393939"/>
          <w:kern w:val="0"/>
          <w:sz w:val="24"/>
          <w:szCs w:val="24"/>
        </w:rPr>
        <w:t>中标人在货物出厂前</w:t>
      </w:r>
      <w:r>
        <w:rPr>
          <w:rFonts w:ascii="Tahoma" w:hAnsi="Tahoma" w:eastAsia="微软雅黑" w:cs="Tahoma"/>
          <w:color w:val="393939"/>
          <w:kern w:val="0"/>
          <w:sz w:val="24"/>
          <w:szCs w:val="24"/>
        </w:rPr>
        <w:t>,</w:t>
      </w:r>
      <w:r>
        <w:rPr>
          <w:rFonts w:hint="eastAsia" w:ascii="宋体" w:hAnsi="宋体" w:eastAsia="宋体" w:cs="宋体"/>
          <w:color w:val="393939"/>
          <w:kern w:val="0"/>
          <w:sz w:val="24"/>
          <w:szCs w:val="24"/>
        </w:rPr>
        <w:t>应按产品技术标准规定的检验项目和试验方法进行全面检验，中标人应随同货物提供出厂检验报告、产品质量合格证和有效的整机型式试验报告。属进口货物的应有报关单。中标人在产品生产过程中，采购人可根据实际情况到工厂对货物的生产过程及质量进行查验。查验中若发现中标人没有按照招标文件的要求和投标承诺履行合同，采购人有权终止合同，没收中标人提供的履约保证金，并要求中标人赔偿由此造成的损失。</w:t>
      </w:r>
    </w:p>
    <w:p>
      <w:pPr>
        <w:widowControl/>
        <w:shd w:val="clear" w:color="auto" w:fill="FFFFFF"/>
        <w:spacing w:before="45" w:after="45" w:line="240" w:lineRule="atLeast"/>
        <w:ind w:firstLine="270"/>
        <w:jc w:val="left"/>
        <w:rPr>
          <w:rFonts w:ascii="微软雅黑" w:hAnsi="微软雅黑" w:eastAsia="微软雅黑" w:cs="宋体"/>
          <w:kern w:val="0"/>
          <w:sz w:val="24"/>
          <w:szCs w:val="24"/>
        </w:rPr>
      </w:pPr>
      <w:r>
        <w:rPr>
          <w:rFonts w:hint="eastAsia" w:ascii="宋体" w:hAnsi="宋体" w:eastAsia="宋体" w:cs="宋体"/>
          <w:color w:val="393939"/>
          <w:kern w:val="0"/>
          <w:sz w:val="24"/>
          <w:szCs w:val="24"/>
        </w:rPr>
        <w:t> </w:t>
      </w:r>
      <w:r>
        <w:rPr>
          <w:rFonts w:ascii="Tahoma" w:hAnsi="Tahoma" w:eastAsia="微软雅黑" w:cs="Tahoma"/>
          <w:color w:val="393939"/>
          <w:kern w:val="0"/>
          <w:sz w:val="24"/>
          <w:szCs w:val="24"/>
        </w:rPr>
        <w:t>b.</w:t>
      </w:r>
      <w:r>
        <w:rPr>
          <w:rFonts w:hint="eastAsia" w:ascii="宋体" w:hAnsi="宋体" w:eastAsia="宋体" w:cs="宋体"/>
          <w:color w:val="393939"/>
          <w:kern w:val="0"/>
          <w:sz w:val="24"/>
          <w:szCs w:val="24"/>
        </w:rPr>
        <w:t>货到初步验收：货物运达采购人安装现场后，由采购人会同监理等有关部门进行基本质量和数量及规格型号的验收（但不作为最终合格的保证）。该验收应达到合同规定的要求。供应 商对安装调度过程，应作详细检验记录。安装调试检验结果应符合中标人产品标准，并提供自检报告。检验记录须提供给相关单位。</w:t>
      </w:r>
    </w:p>
    <w:p>
      <w:pPr>
        <w:widowControl/>
        <w:shd w:val="clear" w:color="auto" w:fill="FFFFFF"/>
        <w:spacing w:before="45" w:after="45" w:line="240" w:lineRule="atLeast"/>
        <w:ind w:firstLine="270"/>
        <w:jc w:val="left"/>
        <w:rPr>
          <w:rFonts w:ascii="宋体" w:hAnsi="宋体" w:eastAsia="宋体" w:cs="宋体"/>
          <w:color w:val="393939"/>
          <w:kern w:val="0"/>
          <w:sz w:val="24"/>
          <w:szCs w:val="24"/>
        </w:rPr>
      </w:pPr>
      <w:r>
        <w:rPr>
          <w:rFonts w:hint="eastAsia" w:ascii="宋体" w:hAnsi="宋体" w:eastAsia="宋体" w:cs="宋体"/>
          <w:color w:val="393939"/>
          <w:kern w:val="0"/>
          <w:sz w:val="24"/>
          <w:szCs w:val="24"/>
        </w:rPr>
        <w:t> </w:t>
      </w:r>
      <w:r>
        <w:rPr>
          <w:rFonts w:ascii="Tahoma" w:hAnsi="Tahoma" w:eastAsia="微软雅黑" w:cs="Tahoma"/>
          <w:color w:val="393939"/>
          <w:kern w:val="0"/>
          <w:sz w:val="24"/>
          <w:szCs w:val="24"/>
        </w:rPr>
        <w:t>c.</w:t>
      </w:r>
      <w:r>
        <w:rPr>
          <w:rFonts w:hint="eastAsia" w:ascii="宋体" w:hAnsi="宋体" w:eastAsia="宋体" w:cs="宋体"/>
          <w:color w:val="393939"/>
          <w:kern w:val="0"/>
          <w:sz w:val="24"/>
          <w:szCs w:val="24"/>
        </w:rPr>
        <w:t>最终验收：设备安装调试和试运行结束后，由采购人负责联系有关部门，并会同供应商按规定的标准要求进行联合验收，验收合格后签发《验收报告》。最终验收后一周内如发现货物质量问题，中标供应商应在24小时内无条件免费更换货物。</w:t>
      </w:r>
    </w:p>
    <w:p>
      <w:pPr>
        <w:widowControl/>
        <w:shd w:val="clear" w:color="auto" w:fill="FFFFFF"/>
        <w:spacing w:before="45" w:after="45" w:line="240" w:lineRule="atLeast"/>
        <w:ind w:firstLine="270"/>
        <w:jc w:val="left"/>
        <w:rPr>
          <w:rFonts w:ascii="微软雅黑" w:hAnsi="微软雅黑" w:eastAsia="微软雅黑" w:cs="宋体"/>
          <w:kern w:val="0"/>
          <w:sz w:val="24"/>
          <w:szCs w:val="24"/>
        </w:rPr>
      </w:pPr>
      <w:r>
        <w:rPr>
          <w:rFonts w:hint="eastAsia" w:ascii="宋体" w:hAnsi="宋体" w:eastAsia="宋体" w:cs="宋体"/>
          <w:color w:val="393939"/>
          <w:kern w:val="0"/>
          <w:sz w:val="24"/>
          <w:szCs w:val="24"/>
        </w:rPr>
        <w:t>验收费用由中标人承担。</w:t>
      </w:r>
    </w:p>
    <w:p>
      <w:pPr>
        <w:widowControl/>
        <w:shd w:val="clear" w:color="auto" w:fill="FFFFFF"/>
        <w:spacing w:before="45" w:after="45" w:line="240" w:lineRule="atLeast"/>
        <w:ind w:firstLine="270"/>
        <w:jc w:val="left"/>
        <w:rPr>
          <w:rFonts w:ascii="微软雅黑" w:hAnsi="微软雅黑" w:eastAsia="微软雅黑" w:cs="宋体"/>
          <w:kern w:val="0"/>
          <w:sz w:val="24"/>
          <w:szCs w:val="24"/>
        </w:rPr>
      </w:pPr>
      <w:r>
        <w:rPr>
          <w:rFonts w:ascii="Tahoma" w:hAnsi="Tahoma" w:eastAsia="微软雅黑" w:cs="Tahoma"/>
          <w:color w:val="393939"/>
          <w:kern w:val="0"/>
          <w:sz w:val="24"/>
          <w:szCs w:val="24"/>
        </w:rPr>
        <w:t>1.3.4</w:t>
      </w:r>
      <w:r>
        <w:rPr>
          <w:rFonts w:hint="eastAsia" w:ascii="宋体" w:hAnsi="宋体" w:eastAsia="宋体" w:cs="宋体"/>
          <w:color w:val="393939"/>
          <w:kern w:val="0"/>
          <w:sz w:val="24"/>
          <w:szCs w:val="24"/>
        </w:rPr>
        <w:t>培训</w:t>
      </w:r>
    </w:p>
    <w:p>
      <w:pPr>
        <w:widowControl/>
        <w:shd w:val="clear" w:color="auto" w:fill="FFFFFF"/>
        <w:spacing w:before="45" w:after="45" w:line="240" w:lineRule="atLeast"/>
        <w:ind w:firstLine="270"/>
        <w:jc w:val="left"/>
        <w:rPr>
          <w:rFonts w:ascii="微软雅黑" w:hAnsi="微软雅黑" w:eastAsia="微软雅黑" w:cs="宋体"/>
          <w:kern w:val="0"/>
          <w:sz w:val="24"/>
          <w:szCs w:val="24"/>
        </w:rPr>
      </w:pPr>
      <w:r>
        <w:rPr>
          <w:rFonts w:hint="eastAsia" w:ascii="宋体" w:hAnsi="宋体" w:eastAsia="宋体" w:cs="宋体"/>
          <w:color w:val="393939"/>
          <w:kern w:val="0"/>
          <w:sz w:val="24"/>
          <w:szCs w:val="24"/>
        </w:rPr>
        <w:t>中标人应结合货物的安装、调试及试运行过程，有计划地对采购人派出的管理、维保人员（至少</w:t>
      </w:r>
      <w:r>
        <w:rPr>
          <w:rFonts w:ascii="Tahoma" w:hAnsi="Tahoma" w:eastAsia="微软雅黑" w:cs="Tahoma"/>
          <w:color w:val="393939"/>
          <w:kern w:val="0"/>
          <w:sz w:val="24"/>
          <w:szCs w:val="24"/>
        </w:rPr>
        <w:t>2</w:t>
      </w:r>
      <w:r>
        <w:rPr>
          <w:rFonts w:hint="eastAsia" w:ascii="宋体" w:hAnsi="宋体" w:eastAsia="宋体" w:cs="宋体"/>
          <w:color w:val="393939"/>
          <w:kern w:val="0"/>
          <w:sz w:val="24"/>
          <w:szCs w:val="24"/>
        </w:rPr>
        <w:t>人）进行设备的基本知识、使用、维护保养技术的现场培训，以保证设备的良好运行。培训费用应包含在本次投标报价中（若需到厂家进行技术培训，相关费用由采购单位承担，不列入政府采购项目支出）。投标人需提供详细的技术培训方案承诺。</w:t>
      </w:r>
    </w:p>
    <w:p>
      <w:pPr>
        <w:widowControl/>
        <w:shd w:val="clear" w:color="auto" w:fill="FFFFFF"/>
        <w:spacing w:before="45" w:after="45" w:line="240" w:lineRule="atLeast"/>
        <w:ind w:firstLine="270"/>
        <w:jc w:val="left"/>
        <w:rPr>
          <w:rFonts w:ascii="微软雅黑" w:hAnsi="微软雅黑" w:eastAsia="微软雅黑" w:cs="宋体"/>
          <w:kern w:val="0"/>
          <w:sz w:val="24"/>
          <w:szCs w:val="24"/>
        </w:rPr>
      </w:pPr>
      <w:r>
        <w:rPr>
          <w:rFonts w:ascii="Tahoma" w:hAnsi="Tahoma" w:eastAsia="微软雅黑" w:cs="Tahoma"/>
          <w:color w:val="393939"/>
          <w:kern w:val="0"/>
          <w:sz w:val="24"/>
          <w:szCs w:val="24"/>
        </w:rPr>
        <w:t>1.3.5</w:t>
      </w:r>
      <w:r>
        <w:rPr>
          <w:rFonts w:hint="eastAsia" w:ascii="宋体" w:hAnsi="宋体" w:eastAsia="宋体" w:cs="宋体"/>
          <w:color w:val="393939"/>
          <w:kern w:val="0"/>
          <w:sz w:val="24"/>
          <w:szCs w:val="24"/>
        </w:rPr>
        <w:t>技术资料要求：</w:t>
      </w:r>
    </w:p>
    <w:p>
      <w:pPr>
        <w:widowControl/>
        <w:shd w:val="clear" w:color="auto" w:fill="FFFFFF"/>
        <w:spacing w:before="45" w:after="45"/>
        <w:ind w:firstLine="390"/>
        <w:jc w:val="left"/>
        <w:rPr>
          <w:rFonts w:ascii="微软雅黑" w:hAnsi="微软雅黑" w:eastAsia="微软雅黑" w:cs="宋体"/>
          <w:kern w:val="0"/>
          <w:sz w:val="24"/>
          <w:szCs w:val="24"/>
        </w:rPr>
      </w:pPr>
      <w:r>
        <w:rPr>
          <w:rFonts w:hint="eastAsia" w:ascii="宋体" w:hAnsi="宋体" w:eastAsia="宋体" w:cs="宋体"/>
          <w:color w:val="393939"/>
          <w:kern w:val="0"/>
          <w:sz w:val="24"/>
          <w:szCs w:val="24"/>
        </w:rPr>
        <w:t>中标人应向采购人提供以下中文技术资料：</w:t>
      </w:r>
    </w:p>
    <w:p>
      <w:pPr>
        <w:widowControl/>
        <w:shd w:val="clear" w:color="auto" w:fill="FFFFFF"/>
        <w:spacing w:before="45" w:after="45" w:line="240" w:lineRule="atLeast"/>
        <w:ind w:firstLine="270"/>
        <w:jc w:val="left"/>
        <w:rPr>
          <w:rFonts w:ascii="微软雅黑" w:hAnsi="微软雅黑" w:eastAsia="微软雅黑" w:cs="宋体"/>
          <w:kern w:val="0"/>
          <w:sz w:val="24"/>
          <w:szCs w:val="24"/>
        </w:rPr>
      </w:pPr>
      <w:r>
        <w:rPr>
          <w:rFonts w:hint="eastAsia" w:ascii="宋体" w:hAnsi="宋体" w:eastAsia="宋体" w:cs="宋体"/>
          <w:color w:val="393939"/>
          <w:kern w:val="0"/>
          <w:sz w:val="24"/>
          <w:szCs w:val="24"/>
        </w:rPr>
        <w:t>…技术说明书</w:t>
      </w:r>
    </w:p>
    <w:p>
      <w:pPr>
        <w:widowControl/>
        <w:shd w:val="clear" w:color="auto" w:fill="FFFFFF"/>
        <w:spacing w:before="45" w:after="45" w:line="240" w:lineRule="atLeast"/>
        <w:ind w:firstLine="270"/>
        <w:jc w:val="left"/>
        <w:rPr>
          <w:rFonts w:ascii="微软雅黑" w:hAnsi="微软雅黑" w:eastAsia="微软雅黑" w:cs="宋体"/>
          <w:kern w:val="0"/>
          <w:sz w:val="24"/>
          <w:szCs w:val="24"/>
        </w:rPr>
      </w:pPr>
      <w:r>
        <w:rPr>
          <w:rFonts w:hint="eastAsia" w:ascii="宋体" w:hAnsi="宋体" w:eastAsia="宋体" w:cs="宋体"/>
          <w:color w:val="393939"/>
          <w:kern w:val="0"/>
          <w:sz w:val="24"/>
          <w:szCs w:val="24"/>
        </w:rPr>
        <w:t>…原产 地证明</w:t>
      </w:r>
    </w:p>
    <w:p>
      <w:pPr>
        <w:widowControl/>
        <w:shd w:val="clear" w:color="auto" w:fill="FFFFFF"/>
        <w:spacing w:before="45" w:after="45" w:line="240" w:lineRule="atLeast"/>
        <w:ind w:firstLine="270"/>
        <w:jc w:val="left"/>
        <w:rPr>
          <w:rFonts w:ascii="微软雅黑" w:hAnsi="微软雅黑" w:eastAsia="微软雅黑" w:cs="宋体"/>
          <w:kern w:val="0"/>
          <w:sz w:val="24"/>
          <w:szCs w:val="24"/>
        </w:rPr>
      </w:pPr>
      <w:r>
        <w:rPr>
          <w:rFonts w:hint="eastAsia" w:ascii="宋体" w:hAnsi="宋体" w:eastAsia="宋体" w:cs="宋体"/>
          <w:color w:val="393939"/>
          <w:kern w:val="0"/>
          <w:sz w:val="24"/>
          <w:szCs w:val="24"/>
        </w:rPr>
        <w:t>…详细的安装手册、调试手册和使用保养维修手册；</w:t>
      </w:r>
      <w:r>
        <w:rPr>
          <w:rFonts w:hint="eastAsia" w:ascii="宋体" w:hAnsi="宋体" w:eastAsia="宋体" w:cs="宋体"/>
          <w:color w:val="393939"/>
          <w:kern w:val="0"/>
          <w:sz w:val="24"/>
          <w:szCs w:val="24"/>
        </w:rPr>
        <w:br w:type="textWrapping"/>
      </w:r>
      <w:r>
        <w:rPr>
          <w:rFonts w:hint="eastAsia" w:ascii="宋体" w:hAnsi="宋体" w:eastAsia="宋体" w:cs="宋体"/>
          <w:color w:val="393939"/>
          <w:kern w:val="0"/>
          <w:sz w:val="24"/>
          <w:szCs w:val="24"/>
        </w:rPr>
        <w:t>   …安装完毕后立即进行的验收试验程序说明；</w:t>
      </w:r>
    </w:p>
    <w:p>
      <w:pPr>
        <w:widowControl/>
        <w:shd w:val="clear" w:color="auto" w:fill="FFFFFF"/>
        <w:spacing w:before="45" w:after="45" w:line="240" w:lineRule="atLeast"/>
        <w:ind w:firstLine="270"/>
        <w:jc w:val="left"/>
        <w:rPr>
          <w:rFonts w:ascii="微软雅黑" w:hAnsi="微软雅黑" w:eastAsia="微软雅黑" w:cs="宋体"/>
          <w:kern w:val="0"/>
          <w:sz w:val="24"/>
          <w:szCs w:val="24"/>
        </w:rPr>
      </w:pPr>
      <w:r>
        <w:rPr>
          <w:rFonts w:hint="eastAsia" w:ascii="宋体" w:hAnsi="宋体" w:eastAsia="宋体" w:cs="宋体"/>
          <w:color w:val="393939"/>
          <w:kern w:val="0"/>
          <w:sz w:val="24"/>
          <w:szCs w:val="24"/>
        </w:rPr>
        <w:t>…出厂货物明细表（含包装和装箱的详细情况说明）；</w:t>
      </w:r>
    </w:p>
    <w:p>
      <w:pPr>
        <w:widowControl/>
        <w:shd w:val="clear" w:color="auto" w:fill="FFFFFF"/>
        <w:spacing w:before="45" w:after="45" w:line="240" w:lineRule="atLeast"/>
        <w:ind w:firstLine="270"/>
        <w:jc w:val="left"/>
        <w:rPr>
          <w:rFonts w:ascii="微软雅黑" w:hAnsi="微软雅黑" w:eastAsia="微软雅黑" w:cs="宋体"/>
          <w:kern w:val="0"/>
          <w:sz w:val="24"/>
          <w:szCs w:val="24"/>
        </w:rPr>
      </w:pPr>
      <w:r>
        <w:rPr>
          <w:rFonts w:hint="eastAsia" w:ascii="宋体" w:hAnsi="宋体" w:eastAsia="宋体" w:cs="宋体"/>
          <w:color w:val="393939"/>
          <w:kern w:val="0"/>
          <w:sz w:val="24"/>
          <w:szCs w:val="24"/>
        </w:rPr>
        <w:t>…其它需提供的通知或文本（含送交建设行政主管部门竣工备案的内业资料）。</w:t>
      </w:r>
    </w:p>
    <w:p>
      <w:pPr>
        <w:widowControl/>
        <w:shd w:val="clear" w:color="auto" w:fill="FFFFFF"/>
        <w:spacing w:before="45" w:after="45" w:line="240" w:lineRule="atLeast"/>
        <w:ind w:firstLine="270"/>
        <w:jc w:val="left"/>
        <w:rPr>
          <w:rFonts w:ascii="宋体" w:hAnsi="宋体" w:eastAsia="宋体" w:cs="宋体"/>
          <w:color w:val="393939"/>
          <w:kern w:val="0"/>
          <w:sz w:val="24"/>
          <w:szCs w:val="24"/>
        </w:rPr>
      </w:pPr>
      <w:r>
        <w:rPr>
          <w:rFonts w:ascii="Tahoma" w:hAnsi="Tahoma" w:eastAsia="微软雅黑" w:cs="Tahoma"/>
          <w:color w:val="393939"/>
          <w:kern w:val="0"/>
          <w:sz w:val="24"/>
          <w:szCs w:val="24"/>
        </w:rPr>
        <w:t>1.3.6</w:t>
      </w:r>
      <w:r>
        <w:rPr>
          <w:rFonts w:hint="eastAsia" w:ascii="宋体" w:hAnsi="宋体" w:eastAsia="宋体" w:cs="宋体"/>
          <w:color w:val="393939"/>
          <w:kern w:val="0"/>
          <w:sz w:val="24"/>
          <w:szCs w:val="24"/>
        </w:rPr>
        <w:t>质保期及售后 服务</w:t>
      </w:r>
      <w:r>
        <w:rPr>
          <w:rFonts w:hint="eastAsia" w:ascii="宋体" w:hAnsi="宋体" w:eastAsia="宋体" w:cs="宋体"/>
          <w:color w:val="393939"/>
          <w:kern w:val="0"/>
          <w:sz w:val="24"/>
          <w:szCs w:val="24"/>
        </w:rPr>
        <w:br w:type="textWrapping"/>
      </w:r>
      <w:r>
        <w:rPr>
          <w:rFonts w:hint="eastAsia" w:ascii="宋体" w:hAnsi="宋体" w:eastAsia="宋体" w:cs="宋体"/>
          <w:color w:val="393939"/>
          <w:kern w:val="0"/>
          <w:sz w:val="24"/>
          <w:szCs w:val="24"/>
        </w:rPr>
        <w:t>   （</w:t>
      </w:r>
      <w:r>
        <w:rPr>
          <w:rFonts w:ascii="Tahoma" w:hAnsi="Tahoma" w:eastAsia="微软雅黑" w:cs="Tahoma"/>
          <w:color w:val="393939"/>
          <w:kern w:val="0"/>
          <w:sz w:val="24"/>
          <w:szCs w:val="24"/>
        </w:rPr>
        <w:t>1</w:t>
      </w:r>
      <w:r>
        <w:rPr>
          <w:rFonts w:hint="eastAsia" w:ascii="宋体" w:hAnsi="宋体" w:eastAsia="宋体" w:cs="宋体"/>
          <w:color w:val="393939"/>
          <w:kern w:val="0"/>
          <w:sz w:val="24"/>
          <w:szCs w:val="24"/>
        </w:rPr>
        <w:t>）免费保修期内同一设备，同一质量问题连续两次维修仍无法正常使用时，中标人负责更换同品 牌、同型号的新设备，或同品牌且性能不低于原设备（须经采购单位认可）。</w:t>
      </w:r>
    </w:p>
    <w:p>
      <w:pPr>
        <w:widowControl/>
        <w:shd w:val="clear" w:color="auto" w:fill="FFFFFF"/>
        <w:spacing w:before="45" w:after="45" w:line="240" w:lineRule="atLeast"/>
        <w:ind w:firstLine="270"/>
        <w:jc w:val="left"/>
        <w:rPr>
          <w:rFonts w:ascii="微软雅黑" w:hAnsi="微软雅黑" w:eastAsia="微软雅黑" w:cs="宋体"/>
          <w:kern w:val="0"/>
          <w:sz w:val="24"/>
          <w:szCs w:val="24"/>
        </w:rPr>
      </w:pPr>
      <w:r>
        <w:rPr>
          <w:rFonts w:hint="eastAsia" w:ascii="宋体" w:hAnsi="宋体" w:eastAsia="宋体" w:cs="宋体"/>
          <w:color w:val="393939"/>
          <w:kern w:val="0"/>
          <w:sz w:val="24"/>
          <w:szCs w:val="24"/>
        </w:rPr>
        <w:t>（</w:t>
      </w:r>
      <w:r>
        <w:rPr>
          <w:rFonts w:ascii="Tahoma" w:hAnsi="Tahoma" w:eastAsia="微软雅黑" w:cs="Tahoma"/>
          <w:color w:val="393939"/>
          <w:kern w:val="0"/>
          <w:sz w:val="24"/>
          <w:szCs w:val="24"/>
        </w:rPr>
        <w:t>2</w:t>
      </w:r>
      <w:r>
        <w:rPr>
          <w:rFonts w:hint="eastAsia" w:ascii="宋体" w:hAnsi="宋体" w:eastAsia="宋体" w:cs="宋体"/>
          <w:color w:val="393939"/>
          <w:kern w:val="0"/>
          <w:sz w:val="24"/>
          <w:szCs w:val="24"/>
        </w:rPr>
        <w:t>）免费质量保修期结束后，中标人应在设备使用地指 定有维保资质的代 理企业对设备进行终生维护和修理。投标人在投标文件中应说明售后 服务措施及免费保修期满后设备维护和收费标准。</w:t>
      </w:r>
    </w:p>
    <w:p>
      <w:pPr>
        <w:widowControl/>
        <w:shd w:val="clear" w:color="auto" w:fill="FFFFFF"/>
        <w:spacing w:before="45" w:after="45" w:line="240" w:lineRule="atLeast"/>
        <w:ind w:firstLine="270"/>
        <w:jc w:val="left"/>
        <w:rPr>
          <w:rFonts w:ascii="微软雅黑" w:hAnsi="微软雅黑" w:eastAsia="微软雅黑" w:cs="宋体"/>
          <w:b/>
          <w:bCs/>
          <w:kern w:val="0"/>
          <w:sz w:val="24"/>
          <w:szCs w:val="24"/>
        </w:rPr>
      </w:pPr>
      <w:r>
        <w:rPr>
          <w:rFonts w:hint="eastAsia" w:ascii="宋体" w:hAnsi="宋体" w:eastAsia="宋体" w:cs="宋体"/>
          <w:b/>
          <w:bCs/>
          <w:color w:val="393939"/>
          <w:kern w:val="0"/>
          <w:sz w:val="24"/>
          <w:szCs w:val="24"/>
          <w:u w:val="single"/>
        </w:rPr>
        <w:t>（</w:t>
      </w:r>
      <w:r>
        <w:rPr>
          <w:rFonts w:ascii="Tahoma" w:hAnsi="Tahoma" w:eastAsia="微软雅黑" w:cs="Tahoma"/>
          <w:b/>
          <w:bCs/>
          <w:color w:val="393939"/>
          <w:kern w:val="0"/>
          <w:sz w:val="24"/>
          <w:szCs w:val="24"/>
          <w:u w:val="single"/>
        </w:rPr>
        <w:t>3</w:t>
      </w:r>
      <w:r>
        <w:rPr>
          <w:rFonts w:hint="eastAsia" w:ascii="宋体" w:hAnsi="宋体" w:eastAsia="宋体" w:cs="宋体"/>
          <w:b/>
          <w:bCs/>
          <w:color w:val="393939"/>
          <w:kern w:val="0"/>
          <w:sz w:val="24"/>
          <w:szCs w:val="24"/>
          <w:u w:val="single"/>
        </w:rPr>
        <w:t>）为保证售后 服务及应用服务的及时快捷，非泉州市行政区域内工商注册企业若获得中标，须在泉州市区设立售后服务机构，且在免费质保期内常驻技术人员不得少于</w:t>
      </w:r>
      <w:r>
        <w:rPr>
          <w:rFonts w:ascii="Tahoma" w:hAnsi="Tahoma" w:eastAsia="微软雅黑" w:cs="Tahoma"/>
          <w:b/>
          <w:bCs/>
          <w:color w:val="393939"/>
          <w:kern w:val="0"/>
          <w:sz w:val="24"/>
          <w:szCs w:val="24"/>
          <w:u w:val="single"/>
        </w:rPr>
        <w:t>2</w:t>
      </w:r>
      <w:r>
        <w:rPr>
          <w:rFonts w:hint="eastAsia" w:ascii="宋体" w:hAnsi="宋体" w:eastAsia="宋体" w:cs="宋体"/>
          <w:b/>
          <w:bCs/>
          <w:color w:val="393939"/>
          <w:kern w:val="0"/>
          <w:sz w:val="24"/>
          <w:szCs w:val="24"/>
          <w:u w:val="single"/>
        </w:rPr>
        <w:t>人，上述投标人须对此做出专项承诺，否则将视为未实质性响应招标商务要求，采购单位有权拒绝付款</w:t>
      </w:r>
      <w:r>
        <w:rPr>
          <w:rFonts w:hint="eastAsia" w:ascii="宋体" w:hAnsi="宋体" w:eastAsia="宋体" w:cs="宋体"/>
          <w:b/>
          <w:bCs/>
          <w:color w:val="393939"/>
          <w:kern w:val="0"/>
          <w:sz w:val="24"/>
          <w:szCs w:val="24"/>
        </w:rPr>
        <w:t>。</w:t>
      </w:r>
    </w:p>
    <w:p>
      <w:pPr>
        <w:widowControl/>
        <w:shd w:val="clear" w:color="auto" w:fill="FFFFFF"/>
        <w:spacing w:before="45" w:after="45" w:line="240" w:lineRule="atLeast"/>
        <w:ind w:firstLine="270"/>
        <w:jc w:val="left"/>
        <w:rPr>
          <w:rFonts w:ascii="微软雅黑" w:hAnsi="微软雅黑" w:eastAsia="微软雅黑" w:cs="宋体"/>
          <w:kern w:val="0"/>
          <w:sz w:val="24"/>
          <w:szCs w:val="24"/>
        </w:rPr>
      </w:pPr>
      <w:r>
        <w:rPr>
          <w:rFonts w:ascii="Tahoma" w:hAnsi="Tahoma" w:eastAsia="微软雅黑" w:cs="Tahoma"/>
          <w:color w:val="393939"/>
          <w:kern w:val="0"/>
          <w:sz w:val="24"/>
          <w:szCs w:val="24"/>
        </w:rPr>
        <w:t> </w:t>
      </w:r>
      <w:r>
        <w:rPr>
          <w:rFonts w:hint="eastAsia" w:ascii="宋体" w:hAnsi="宋体" w:eastAsia="宋体" w:cs="宋体"/>
          <w:b/>
          <w:bCs/>
          <w:color w:val="393939"/>
          <w:kern w:val="0"/>
          <w:sz w:val="24"/>
          <w:szCs w:val="24"/>
        </w:rPr>
        <w:t>（二）供货范围</w:t>
      </w:r>
    </w:p>
    <w:p>
      <w:pPr>
        <w:widowControl/>
        <w:shd w:val="clear" w:color="auto" w:fill="FFFFFF"/>
        <w:spacing w:before="45" w:after="45" w:line="240" w:lineRule="atLeast"/>
        <w:ind w:firstLine="270"/>
        <w:jc w:val="left"/>
        <w:rPr>
          <w:rFonts w:ascii="微软雅黑" w:hAnsi="微软雅黑" w:eastAsia="微软雅黑" w:cs="宋体"/>
          <w:kern w:val="0"/>
          <w:sz w:val="24"/>
          <w:szCs w:val="24"/>
        </w:rPr>
      </w:pPr>
      <w:r>
        <w:rPr>
          <w:rFonts w:ascii="Tahoma" w:hAnsi="Tahoma" w:eastAsia="微软雅黑" w:cs="Tahoma"/>
          <w:color w:val="393939"/>
          <w:kern w:val="0"/>
          <w:sz w:val="24"/>
          <w:szCs w:val="24"/>
        </w:rPr>
        <w:t>2.1</w:t>
      </w:r>
      <w:r>
        <w:rPr>
          <w:rFonts w:hint="eastAsia" w:ascii="宋体" w:hAnsi="宋体" w:eastAsia="宋体" w:cs="宋体"/>
          <w:color w:val="393939"/>
          <w:kern w:val="0"/>
          <w:sz w:val="24"/>
          <w:szCs w:val="24"/>
        </w:rPr>
        <w:t>投标人必须能按照《采购标的一览表》的内容提供必需的所有货物、备品配件、材料、附件及专用工具。</w:t>
      </w:r>
    </w:p>
    <w:p>
      <w:pPr>
        <w:widowControl/>
        <w:shd w:val="clear" w:color="auto" w:fill="FFFFFF"/>
        <w:spacing w:before="45" w:after="45" w:line="240" w:lineRule="atLeast"/>
        <w:ind w:firstLine="270"/>
        <w:jc w:val="left"/>
        <w:rPr>
          <w:rFonts w:ascii="微软雅黑" w:hAnsi="微软雅黑" w:eastAsia="微软雅黑" w:cs="宋体"/>
          <w:kern w:val="0"/>
          <w:sz w:val="24"/>
          <w:szCs w:val="24"/>
        </w:rPr>
      </w:pPr>
      <w:r>
        <w:rPr>
          <w:rFonts w:ascii="Tahoma" w:hAnsi="Tahoma" w:eastAsia="微软雅黑" w:cs="Tahoma"/>
          <w:color w:val="393939"/>
          <w:kern w:val="0"/>
          <w:sz w:val="24"/>
          <w:szCs w:val="24"/>
        </w:rPr>
        <w:t>2.2</w:t>
      </w:r>
      <w:r>
        <w:rPr>
          <w:rFonts w:hint="eastAsia" w:ascii="宋体" w:hAnsi="宋体" w:eastAsia="宋体" w:cs="宋体"/>
          <w:color w:val="393939"/>
          <w:kern w:val="0"/>
          <w:sz w:val="24"/>
          <w:szCs w:val="24"/>
        </w:rPr>
        <w:t>专用工具：投标人应提供货物维修所需的专用工具，并在投标时列出清单。</w:t>
      </w:r>
    </w:p>
    <w:p>
      <w:pPr>
        <w:widowControl/>
        <w:shd w:val="clear" w:color="auto" w:fill="FFFFFF"/>
        <w:spacing w:before="45" w:after="45" w:line="240" w:lineRule="atLeast"/>
        <w:ind w:firstLine="270"/>
        <w:jc w:val="left"/>
        <w:rPr>
          <w:rFonts w:ascii="微软雅黑" w:hAnsi="微软雅黑" w:eastAsia="微软雅黑" w:cs="宋体"/>
          <w:kern w:val="0"/>
          <w:sz w:val="24"/>
          <w:szCs w:val="24"/>
        </w:rPr>
      </w:pPr>
      <w:r>
        <w:rPr>
          <w:rFonts w:ascii="Tahoma" w:hAnsi="Tahoma" w:eastAsia="微软雅黑" w:cs="Tahoma"/>
          <w:color w:val="393939"/>
          <w:kern w:val="0"/>
          <w:sz w:val="24"/>
          <w:szCs w:val="24"/>
        </w:rPr>
        <w:t>2.3</w:t>
      </w:r>
      <w:r>
        <w:rPr>
          <w:rFonts w:hint="eastAsia" w:ascii="宋体" w:hAnsi="宋体" w:eastAsia="宋体" w:cs="宋体"/>
          <w:color w:val="393939"/>
          <w:kern w:val="0"/>
          <w:sz w:val="24"/>
          <w:szCs w:val="24"/>
        </w:rPr>
        <w:t>备品配件：投标人应提供货物正常运行所需的备品配件。</w:t>
      </w:r>
      <w:r>
        <w:rPr>
          <w:rFonts w:hint="eastAsia" w:ascii="宋体" w:hAnsi="宋体" w:eastAsia="宋体" w:cs="宋体"/>
          <w:color w:val="393939"/>
          <w:kern w:val="0"/>
          <w:sz w:val="24"/>
          <w:szCs w:val="24"/>
        </w:rPr>
        <w:br w:type="textWrapping"/>
      </w:r>
      <w:r>
        <w:rPr>
          <w:rFonts w:hint="eastAsia" w:ascii="宋体" w:hAnsi="宋体" w:eastAsia="宋体" w:cs="宋体"/>
          <w:color w:val="393939"/>
          <w:kern w:val="0"/>
          <w:sz w:val="24"/>
          <w:szCs w:val="24"/>
        </w:rPr>
        <w:t>   </w:t>
      </w:r>
      <w:r>
        <w:rPr>
          <w:rFonts w:ascii="Tahoma" w:hAnsi="Tahoma" w:eastAsia="微软雅黑" w:cs="Tahoma"/>
          <w:color w:val="393939"/>
          <w:kern w:val="0"/>
          <w:sz w:val="24"/>
          <w:szCs w:val="24"/>
        </w:rPr>
        <w:t>2.4</w:t>
      </w:r>
      <w:r>
        <w:rPr>
          <w:rFonts w:hint="eastAsia" w:ascii="宋体" w:hAnsi="宋体" w:eastAsia="宋体" w:cs="宋体"/>
          <w:color w:val="393939"/>
          <w:kern w:val="0"/>
          <w:sz w:val="24"/>
          <w:szCs w:val="24"/>
        </w:rPr>
        <w:t>中标人在货物安装前，应与采购人进行设 计联络工作，包括互相提供资料，共同确认有关设 计条件。</w:t>
      </w:r>
    </w:p>
    <w:p>
      <w:pPr>
        <w:widowControl/>
        <w:shd w:val="clear" w:color="auto" w:fill="FFFFFF"/>
        <w:spacing w:before="45" w:after="45"/>
        <w:jc w:val="left"/>
        <w:rPr>
          <w:rFonts w:ascii="微软雅黑" w:hAnsi="微软雅黑" w:eastAsia="微软雅黑" w:cs="宋体"/>
          <w:kern w:val="0"/>
          <w:sz w:val="24"/>
          <w:szCs w:val="24"/>
        </w:rPr>
      </w:pPr>
      <w:r>
        <w:rPr>
          <w:rFonts w:hint="eastAsia" w:ascii="宋体" w:hAnsi="宋体" w:eastAsia="宋体" w:cs="宋体"/>
          <w:color w:val="393939"/>
          <w:kern w:val="0"/>
          <w:sz w:val="24"/>
          <w:szCs w:val="24"/>
        </w:rPr>
        <w:t>   </w:t>
      </w:r>
      <w:r>
        <w:rPr>
          <w:rFonts w:ascii="Tahoma" w:hAnsi="Tahoma" w:eastAsia="微软雅黑" w:cs="Tahoma"/>
          <w:color w:val="393939"/>
          <w:kern w:val="0"/>
          <w:sz w:val="24"/>
          <w:szCs w:val="24"/>
        </w:rPr>
        <w:t> 2.5</w:t>
      </w:r>
      <w:r>
        <w:rPr>
          <w:rFonts w:hint="eastAsia" w:ascii="宋体" w:hAnsi="宋体" w:eastAsia="宋体" w:cs="宋体"/>
          <w:color w:val="393939"/>
          <w:kern w:val="0"/>
          <w:sz w:val="24"/>
          <w:szCs w:val="24"/>
        </w:rPr>
        <w:t>中标人应负责按本技术规格及要求中有关条款及设 计联络时采购人的要求或必要的相关信息，作好与其它设备的接口工作。</w:t>
      </w:r>
    </w:p>
    <w:p>
      <w:pPr>
        <w:widowControl/>
        <w:shd w:val="clear" w:color="auto" w:fill="FFFFFF"/>
        <w:spacing w:before="45" w:after="45" w:line="240" w:lineRule="atLeast"/>
        <w:ind w:firstLine="270"/>
        <w:jc w:val="left"/>
        <w:rPr>
          <w:rFonts w:ascii="微软雅黑" w:hAnsi="微软雅黑" w:eastAsia="微软雅黑" w:cs="宋体"/>
          <w:kern w:val="0"/>
          <w:sz w:val="24"/>
          <w:szCs w:val="24"/>
        </w:rPr>
      </w:pPr>
      <w:r>
        <w:rPr>
          <w:rFonts w:hint="eastAsia" w:ascii="宋体" w:hAnsi="宋体" w:eastAsia="宋体" w:cs="宋体"/>
          <w:b/>
          <w:bCs/>
          <w:color w:val="393939"/>
          <w:kern w:val="0"/>
          <w:sz w:val="24"/>
          <w:szCs w:val="24"/>
        </w:rPr>
        <w:t>（三）报价要求</w:t>
      </w:r>
    </w:p>
    <w:p>
      <w:pPr>
        <w:widowControl/>
        <w:shd w:val="clear" w:color="auto" w:fill="FFFFFF"/>
        <w:spacing w:before="45" w:after="45"/>
        <w:ind w:firstLine="270"/>
        <w:jc w:val="left"/>
        <w:rPr>
          <w:rFonts w:ascii="微软雅黑" w:hAnsi="微软雅黑" w:eastAsia="微软雅黑" w:cs="宋体"/>
          <w:kern w:val="0"/>
          <w:sz w:val="24"/>
          <w:szCs w:val="24"/>
        </w:rPr>
      </w:pPr>
      <w:r>
        <w:rPr>
          <w:rFonts w:ascii="Tahoma" w:hAnsi="Tahoma" w:eastAsia="微软雅黑" w:cs="Tahoma"/>
          <w:color w:val="393939"/>
          <w:kern w:val="0"/>
          <w:sz w:val="24"/>
          <w:szCs w:val="24"/>
        </w:rPr>
        <w:t>3.1</w:t>
      </w:r>
      <w:r>
        <w:rPr>
          <w:rFonts w:hint="eastAsia" w:ascii="宋体" w:hAnsi="宋体" w:eastAsia="宋体" w:cs="宋体"/>
          <w:color w:val="393939"/>
          <w:kern w:val="0"/>
          <w:sz w:val="24"/>
          <w:szCs w:val="24"/>
        </w:rPr>
        <w:t>投标人应在招标文件所附的报价一览表、投标分项报价表上写明投标货物的分项价格和投标总价。投标人对每种货物只允许有一个报价，采购人不接受有任何选择的报价。</w:t>
      </w:r>
    </w:p>
    <w:p>
      <w:pPr>
        <w:widowControl/>
        <w:shd w:val="clear" w:color="auto" w:fill="FFFFFF"/>
        <w:spacing w:before="45" w:after="45"/>
        <w:ind w:firstLine="270"/>
        <w:jc w:val="left"/>
        <w:rPr>
          <w:rFonts w:ascii="微软雅黑" w:hAnsi="微软雅黑" w:eastAsia="微软雅黑" w:cs="宋体"/>
          <w:kern w:val="0"/>
          <w:sz w:val="24"/>
          <w:szCs w:val="24"/>
        </w:rPr>
      </w:pPr>
      <w:r>
        <w:rPr>
          <w:rFonts w:ascii="Tahoma" w:hAnsi="Tahoma" w:eastAsia="微软雅黑" w:cs="Tahoma"/>
          <w:color w:val="393939"/>
          <w:kern w:val="0"/>
          <w:sz w:val="24"/>
          <w:szCs w:val="24"/>
        </w:rPr>
        <w:t>3.2</w:t>
      </w:r>
      <w:r>
        <w:rPr>
          <w:rFonts w:hint="eastAsia" w:ascii="宋体" w:hAnsi="宋体" w:eastAsia="宋体" w:cs="宋体"/>
          <w:color w:val="393939"/>
          <w:kern w:val="0"/>
          <w:sz w:val="24"/>
          <w:szCs w:val="24"/>
        </w:rPr>
        <w:t>投标人的报价应包含一切税金、货物供应、技术资料费、包装、从供方到采购人目的地的运输、装车、保险、卸货、安装调试、系统集成、检验、技术服务、培训、验收、售后维保服务等一切费用。上述价格在相关合同交货期内为不变价。</w:t>
      </w:r>
    </w:p>
    <w:p>
      <w:pPr>
        <w:widowControl/>
        <w:shd w:val="clear" w:color="auto" w:fill="FFFFFF"/>
        <w:spacing w:before="45" w:after="45" w:line="240" w:lineRule="atLeast"/>
        <w:ind w:firstLine="270"/>
        <w:jc w:val="left"/>
        <w:rPr>
          <w:rFonts w:ascii="微软雅黑" w:hAnsi="微软雅黑" w:eastAsia="微软雅黑" w:cs="宋体"/>
          <w:kern w:val="0"/>
          <w:sz w:val="24"/>
          <w:szCs w:val="24"/>
        </w:rPr>
      </w:pPr>
      <w:r>
        <w:rPr>
          <w:rFonts w:ascii="Tahoma" w:hAnsi="Tahoma" w:eastAsia="微软雅黑" w:cs="Tahoma"/>
          <w:color w:val="393939"/>
          <w:kern w:val="0"/>
          <w:sz w:val="24"/>
          <w:szCs w:val="24"/>
        </w:rPr>
        <w:t>3.3</w:t>
      </w:r>
      <w:r>
        <w:rPr>
          <w:rFonts w:hint="eastAsia" w:ascii="宋体" w:hAnsi="宋体" w:eastAsia="宋体" w:cs="宋体"/>
          <w:color w:val="393939"/>
          <w:kern w:val="0"/>
          <w:sz w:val="24"/>
          <w:szCs w:val="24"/>
        </w:rPr>
        <w:t>投标人应用人民币报价。</w:t>
      </w:r>
    </w:p>
    <w:p>
      <w:pPr>
        <w:widowControl/>
        <w:shd w:val="clear" w:color="auto" w:fill="FFFFFF"/>
        <w:spacing w:before="100" w:beforeAutospacing="1" w:after="100" w:afterAutospacing="1"/>
        <w:jc w:val="left"/>
        <w:rPr>
          <w:rFonts w:ascii="宋体" w:hAnsi="宋体" w:eastAsia="宋体" w:cs="宋体"/>
          <w:kern w:val="0"/>
          <w:sz w:val="24"/>
          <w:szCs w:val="24"/>
        </w:rPr>
      </w:pPr>
      <w:r>
        <w:rPr>
          <w:rFonts w:ascii="Tahoma" w:hAnsi="Tahoma" w:eastAsia="微软雅黑" w:cs="Tahoma"/>
          <w:color w:val="393939"/>
          <w:kern w:val="0"/>
          <w:sz w:val="24"/>
          <w:szCs w:val="24"/>
        </w:rPr>
        <w:t>3.4</w:t>
      </w:r>
      <w:r>
        <w:rPr>
          <w:rFonts w:hint="eastAsia" w:ascii="宋体" w:hAnsi="宋体" w:eastAsia="宋体" w:cs="宋体"/>
          <w:color w:val="393939"/>
          <w:kern w:val="0"/>
          <w:sz w:val="24"/>
          <w:szCs w:val="24"/>
        </w:rPr>
        <w:t>若投标人的报价明显低于其他有效投标报价的，使得其投标报价可能低于其个别成本的，有可能影响产品质量或不能诚信履约的，投标人应按评标委员会要求作出书面说明并提供相关证明材料，不能合理说明或不能提供相关证明材料的，由评标委员会认定该投标人低于成本报价投标，其应作无效投标处理。</w:t>
      </w: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、其他事项</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1、除招标文件另有规定外，若出现有关法律、法规和规章有强制性规定但招标文件未列明的情形，则投标人应按照有关法律、法规和规章强制性规定执行。</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outlineLvl w:val="0"/>
        <w:rPr>
          <w:rFonts w:ascii="宋体" w:hAnsi="宋体" w:eastAsia="宋体" w:cs="宋体"/>
          <w:kern w:val="0"/>
          <w:sz w:val="24"/>
          <w:szCs w:val="24"/>
        </w:rPr>
      </w:pPr>
      <w:bookmarkStart w:id="5" w:name="_Toc16575"/>
      <w:r>
        <w:rPr>
          <w:rFonts w:ascii="宋体" w:hAnsi="宋体" w:eastAsia="宋体" w:cs="宋体"/>
          <w:b/>
          <w:bCs/>
          <w:kern w:val="0"/>
          <w:sz w:val="32"/>
        </w:rPr>
        <w:t>第六章   政府采购合同（参考文本）</w:t>
      </w:r>
      <w:bookmarkEnd w:id="5"/>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编制说明</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1、签订合同应遵守政府采购法、合同法。</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3、国家有关部门对若干合同有规范文本的，可使用相应合同文本。</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u w:val="single"/>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甲方：</w:t>
      </w:r>
      <w:r>
        <w:rPr>
          <w:rFonts w:ascii="宋体" w:hAnsi="宋体" w:eastAsia="宋体" w:cs="宋体"/>
          <w:kern w:val="0"/>
          <w:sz w:val="24"/>
          <w:szCs w:val="24"/>
          <w:u w:val="single"/>
        </w:rPr>
        <w:t>（采购人全称）</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乙方：</w:t>
      </w:r>
      <w:r>
        <w:rPr>
          <w:rFonts w:ascii="宋体" w:hAnsi="宋体" w:eastAsia="宋体" w:cs="宋体"/>
          <w:kern w:val="0"/>
          <w:sz w:val="24"/>
          <w:szCs w:val="24"/>
          <w:u w:val="single"/>
        </w:rPr>
        <w:t>（中标人全称）</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根据招标编号为</w:t>
      </w:r>
      <w:r>
        <w:rPr>
          <w:rFonts w:ascii="宋体" w:hAnsi="宋体" w:eastAsia="宋体" w:cs="宋体"/>
          <w:kern w:val="0"/>
          <w:sz w:val="24"/>
          <w:szCs w:val="24"/>
          <w:u w:val="single"/>
        </w:rPr>
        <w:t>            </w:t>
      </w:r>
      <w:r>
        <w:rPr>
          <w:rFonts w:ascii="宋体" w:hAnsi="宋体" w:eastAsia="宋体" w:cs="宋体"/>
          <w:kern w:val="0"/>
          <w:sz w:val="24"/>
          <w:szCs w:val="24"/>
        </w:rPr>
        <w:t>的</w:t>
      </w:r>
      <w:r>
        <w:rPr>
          <w:rFonts w:ascii="宋体" w:hAnsi="宋体" w:eastAsia="宋体" w:cs="宋体"/>
          <w:kern w:val="0"/>
          <w:sz w:val="24"/>
          <w:szCs w:val="24"/>
          <w:u w:val="single"/>
        </w:rPr>
        <w:t>（填写“项目名称”）</w:t>
      </w:r>
      <w:r>
        <w:rPr>
          <w:rFonts w:ascii="宋体" w:hAnsi="宋体" w:eastAsia="宋体" w:cs="宋体"/>
          <w:kern w:val="0"/>
          <w:sz w:val="24"/>
          <w:szCs w:val="24"/>
        </w:rPr>
        <w:t>项目（以下简称：“本项目”）的招标结果，乙方为中标人。现经甲乙双方友好协商，就以下事项达成一致并签订本合同：</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1、下列合同文件是构成本合同不可分割的部分：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1.1合同条款；</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1.2招标文件、乙方的投标文件；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1.3其他文件或材料：□无。□</w:t>
      </w:r>
      <w:r>
        <w:rPr>
          <w:rFonts w:ascii="宋体" w:hAnsi="宋体" w:eastAsia="宋体" w:cs="宋体"/>
          <w:kern w:val="0"/>
          <w:sz w:val="24"/>
          <w:szCs w:val="24"/>
          <w:u w:val="single"/>
        </w:rPr>
        <w:t>（按照实际情况编制填写需要增加的内容）</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2、合同标的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（按照实际情况编制填写，可以是表格或文字描述）</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3、合同总金额</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3.1合同总金额为人民币大写：</w:t>
      </w:r>
      <w:r>
        <w:rPr>
          <w:rFonts w:ascii="宋体" w:hAnsi="宋体" w:eastAsia="宋体" w:cs="宋体"/>
          <w:kern w:val="0"/>
          <w:sz w:val="24"/>
          <w:szCs w:val="24"/>
          <w:u w:val="single"/>
        </w:rPr>
        <w:t>              </w:t>
      </w:r>
      <w:r>
        <w:rPr>
          <w:rFonts w:ascii="宋体" w:hAnsi="宋体" w:eastAsia="宋体" w:cs="宋体"/>
          <w:kern w:val="0"/>
          <w:sz w:val="24"/>
          <w:szCs w:val="24"/>
        </w:rPr>
        <w:t>元（￥</w:t>
      </w:r>
      <w:r>
        <w:rPr>
          <w:rFonts w:ascii="宋体" w:hAnsi="宋体" w:eastAsia="宋体" w:cs="宋体"/>
          <w:kern w:val="0"/>
          <w:sz w:val="24"/>
          <w:szCs w:val="24"/>
          <w:u w:val="single"/>
        </w:rPr>
        <w:t>              </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4、合同标的交付时间、地点和条件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4.1交付时间：</w:t>
      </w:r>
      <w:r>
        <w:rPr>
          <w:rFonts w:ascii="宋体" w:hAnsi="宋体" w:eastAsia="宋体" w:cs="宋体"/>
          <w:kern w:val="0"/>
          <w:sz w:val="24"/>
          <w:szCs w:val="24"/>
          <w:u w:val="single"/>
        </w:rPr>
        <w:t>                     </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4.2交付地点：</w:t>
      </w:r>
      <w:r>
        <w:rPr>
          <w:rFonts w:ascii="宋体" w:hAnsi="宋体" w:eastAsia="宋体" w:cs="宋体"/>
          <w:kern w:val="0"/>
          <w:sz w:val="24"/>
          <w:szCs w:val="24"/>
          <w:u w:val="single"/>
        </w:rPr>
        <w:t>                     </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4.3交付条件：</w:t>
      </w:r>
      <w:r>
        <w:rPr>
          <w:rFonts w:ascii="宋体" w:hAnsi="宋体" w:eastAsia="宋体" w:cs="宋体"/>
          <w:kern w:val="0"/>
          <w:sz w:val="24"/>
          <w:szCs w:val="24"/>
          <w:u w:val="single"/>
        </w:rPr>
        <w:t>                     </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5、合同标的应符合招标文件、乙方投标文件的规定或约定，具体如下：</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（按照实际情况编制填写，可以是表格或文字描述）</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6、验收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6.1验收应按照招标文件、乙方投标文件的规定或约定进行，具体如下：</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（按照实际情况编制填写，可以是表格或文字描述）</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6.2本项目是否邀请其他投标人参与验收：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□不邀请。□邀请，具体如下：</w:t>
      </w:r>
      <w:r>
        <w:rPr>
          <w:rFonts w:ascii="宋体" w:hAnsi="宋体" w:eastAsia="宋体" w:cs="宋体"/>
          <w:kern w:val="0"/>
          <w:sz w:val="24"/>
          <w:szCs w:val="24"/>
          <w:u w:val="single"/>
        </w:rPr>
        <w:t>（按照招标文件规定填写）</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7、合同款项的支付应按照招标文件的规定进行，具体如下：</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（按照实际情况编制填写，可以是表格或文字描述，包括一次性支付或分期支付等）</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8、履约保证金</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□无。□有，具体如下：</w:t>
      </w:r>
      <w:r>
        <w:rPr>
          <w:rFonts w:ascii="宋体" w:hAnsi="宋体" w:eastAsia="宋体" w:cs="宋体"/>
          <w:kern w:val="0"/>
          <w:sz w:val="24"/>
          <w:szCs w:val="24"/>
          <w:u w:val="single"/>
        </w:rPr>
        <w:t>（按照招标文件规定填写）</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9、合同有效期</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（按照实际情况编制填写，可以是表格或文字描述）</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10、违约责任</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（按照实际情况编制填写，可以是表格或文字描述）</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11、知识产权</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ascii="宋体" w:hAnsi="宋体" w:eastAsia="宋体" w:cs="宋体"/>
          <w:kern w:val="0"/>
          <w:sz w:val="24"/>
          <w:szCs w:val="24"/>
          <w:u w:val="single"/>
        </w:rPr>
        <w:t>（按照实际情况编制填写）</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12、解决争议的方法</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12.1甲、乙双方协商解决。</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12.2若协商解决不成，则通过下列途径之一解决：</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□提交仲裁委员会仲裁，具体如下：</w:t>
      </w:r>
      <w:r>
        <w:rPr>
          <w:rFonts w:ascii="宋体" w:hAnsi="宋体" w:eastAsia="宋体" w:cs="宋体"/>
          <w:kern w:val="0"/>
          <w:sz w:val="24"/>
          <w:szCs w:val="24"/>
          <w:u w:val="single"/>
        </w:rPr>
        <w:t>（按照实际情况编制填写）</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□向人民法院提起诉讼，具体如下：</w:t>
      </w:r>
      <w:r>
        <w:rPr>
          <w:rFonts w:ascii="宋体" w:hAnsi="宋体" w:eastAsia="宋体" w:cs="宋体"/>
          <w:kern w:val="0"/>
          <w:sz w:val="24"/>
          <w:szCs w:val="24"/>
          <w:u w:val="single"/>
        </w:rPr>
        <w:t>（按照实际情况编制填写）</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13、不可抗力</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13.1因不可抗力造成违约的，遭受不可抗力一方应及时向对方通报不能履行或不能完全履行的理由，并在随后取得有关主管机关证明后的</w:t>
      </w:r>
      <w:r>
        <w:rPr>
          <w:rFonts w:ascii="Calibri" w:hAnsi="Calibri" w:eastAsia="宋体" w:cs="宋体"/>
          <w:kern w:val="0"/>
          <w:sz w:val="24"/>
          <w:szCs w:val="24"/>
        </w:rPr>
        <w:t>15</w:t>
      </w:r>
      <w:r>
        <w:rPr>
          <w:rFonts w:ascii="宋体" w:hAnsi="宋体" w:eastAsia="宋体" w:cs="宋体"/>
          <w:kern w:val="0"/>
          <w:sz w:val="24"/>
          <w:szCs w:val="24"/>
        </w:rPr>
        <w:t>日内向另一方提供不可抗力发生及持续期间的充分证据。基于以上行为，允许遭受不可抗力一方延期履行、部分履行或不履行合同，并根据情况可部分或全部免于承担违约责任。</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14、合同条款</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（按照实际情况编制填写。招标文件第五章已有规定的，双方均不得变更或调整；招标文件第五章未作规定的，双方可通过友好协商进行约定）</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15、其他约定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15.1合同文件与本合同具有同等法律效力。</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15.2本合同未尽事宜，双方可另行补充。</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15.3合同生效：自签订之日起生效；通过福建省政府采购网上公开信息系统采用电子形式签订合同的，签订之日以系统记载的双方使用各自</w:t>
      </w:r>
      <w:r>
        <w:rPr>
          <w:rFonts w:ascii="Calibri" w:hAnsi="Calibri" w:eastAsia="宋体" w:cs="宋体"/>
          <w:kern w:val="0"/>
          <w:sz w:val="24"/>
          <w:szCs w:val="24"/>
        </w:rPr>
        <w:t>CA</w:t>
      </w:r>
      <w:r>
        <w:rPr>
          <w:rFonts w:ascii="宋体" w:hAnsi="宋体" w:eastAsia="宋体" w:cs="宋体"/>
          <w:kern w:val="0"/>
          <w:sz w:val="24"/>
          <w:szCs w:val="24"/>
        </w:rPr>
        <w:t>证书在合同上加盖单位公章或合同章的日期中的最晚时间为准。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15.4本合同一式</w:t>
      </w:r>
      <w:r>
        <w:rPr>
          <w:rFonts w:ascii="宋体" w:hAnsi="宋体" w:eastAsia="宋体" w:cs="宋体"/>
          <w:kern w:val="0"/>
          <w:sz w:val="24"/>
          <w:szCs w:val="24"/>
          <w:u w:val="single"/>
        </w:rPr>
        <w:t>（填写具体份数）</w:t>
      </w:r>
      <w:r>
        <w:rPr>
          <w:rFonts w:ascii="宋体" w:hAnsi="宋体" w:eastAsia="宋体" w:cs="宋体"/>
          <w:kern w:val="0"/>
          <w:sz w:val="24"/>
          <w:szCs w:val="24"/>
        </w:rPr>
        <w:t>份，经双方授权代表签字并盖章后生效。甲方、乙方各执</w:t>
      </w:r>
      <w:r>
        <w:rPr>
          <w:rFonts w:ascii="宋体" w:hAnsi="宋体" w:eastAsia="宋体" w:cs="宋体"/>
          <w:kern w:val="0"/>
          <w:sz w:val="24"/>
          <w:szCs w:val="24"/>
          <w:u w:val="single"/>
        </w:rPr>
        <w:t>（填写具体份数）</w:t>
      </w:r>
      <w:r>
        <w:rPr>
          <w:rFonts w:ascii="宋体" w:hAnsi="宋体" w:eastAsia="宋体" w:cs="宋体"/>
          <w:kern w:val="0"/>
          <w:sz w:val="24"/>
          <w:szCs w:val="24"/>
        </w:rPr>
        <w:t>份，送</w:t>
      </w:r>
      <w:r>
        <w:rPr>
          <w:rFonts w:ascii="宋体" w:hAnsi="宋体" w:eastAsia="宋体" w:cs="宋体"/>
          <w:kern w:val="0"/>
          <w:sz w:val="24"/>
          <w:szCs w:val="24"/>
          <w:u w:val="single"/>
        </w:rPr>
        <w:t>（填写需要备案的监管部门的全称）</w:t>
      </w:r>
      <w:r>
        <w:rPr>
          <w:rFonts w:ascii="宋体" w:hAnsi="宋体" w:eastAsia="宋体" w:cs="宋体"/>
          <w:kern w:val="0"/>
          <w:sz w:val="24"/>
          <w:szCs w:val="24"/>
        </w:rPr>
        <w:t>备案</w:t>
      </w:r>
      <w:r>
        <w:rPr>
          <w:rFonts w:ascii="宋体" w:hAnsi="宋体" w:eastAsia="宋体" w:cs="宋体"/>
          <w:kern w:val="0"/>
          <w:sz w:val="24"/>
          <w:szCs w:val="24"/>
          <w:u w:val="single"/>
        </w:rPr>
        <w:t>（填写具体份数）</w:t>
      </w:r>
      <w:r>
        <w:rPr>
          <w:rFonts w:ascii="宋体" w:hAnsi="宋体" w:eastAsia="宋体" w:cs="宋体"/>
          <w:kern w:val="0"/>
          <w:sz w:val="24"/>
          <w:szCs w:val="24"/>
        </w:rPr>
        <w:t>份，具有同等效力。</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15.5其他：□无。□</w:t>
      </w:r>
      <w:r>
        <w:rPr>
          <w:rFonts w:ascii="宋体" w:hAnsi="宋体" w:eastAsia="宋体" w:cs="宋体"/>
          <w:kern w:val="0"/>
          <w:sz w:val="24"/>
          <w:szCs w:val="24"/>
          <w:u w:val="single"/>
        </w:rPr>
        <w:t>（按照实际情况编制填写需要增加的内容）</w:t>
      </w:r>
      <w:r>
        <w:rPr>
          <w:rFonts w:ascii="宋体" w:hAnsi="宋体" w:eastAsia="宋体" w:cs="宋体"/>
          <w:kern w:val="0"/>
          <w:sz w:val="24"/>
          <w:szCs w:val="24"/>
        </w:rPr>
        <w:t>。</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（以下无正文）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180" w:line="345" w:lineRule="atLeast"/>
        <w:ind w:firstLine="480"/>
        <w:jc w:val="left"/>
        <w:rPr>
          <w:rFonts w:ascii="宋体" w:hAnsi="宋体" w:cs="宋体"/>
          <w:kern w:val="0"/>
          <w:szCs w:val="21"/>
        </w:rPr>
      </w:pPr>
      <w:r>
        <w:rPr>
          <w:rFonts w:hint="eastAsia" w:ascii="宋体" w:hAnsi="宋体" w:cs="宋体"/>
          <w:kern w:val="0"/>
          <w:szCs w:val="21"/>
        </w:rPr>
        <w:t>甲方：                  乙方：</w:t>
      </w:r>
    </w:p>
    <w:p>
      <w:pPr>
        <w:widowControl/>
        <w:spacing w:before="180" w:line="345" w:lineRule="atLeast"/>
        <w:ind w:firstLine="480"/>
        <w:jc w:val="left"/>
        <w:rPr>
          <w:rFonts w:ascii="宋体" w:hAnsi="宋体" w:cs="宋体"/>
          <w:kern w:val="0"/>
          <w:szCs w:val="21"/>
        </w:rPr>
      </w:pPr>
      <w:r>
        <w:rPr>
          <w:rFonts w:hint="eastAsia" w:ascii="宋体" w:hAnsi="宋体" w:cs="宋体"/>
          <w:kern w:val="0"/>
          <w:szCs w:val="21"/>
        </w:rPr>
        <w:t>住所：                  住所：</w:t>
      </w:r>
    </w:p>
    <w:p>
      <w:pPr>
        <w:widowControl/>
        <w:spacing w:before="180" w:line="345" w:lineRule="atLeast"/>
        <w:ind w:firstLine="480"/>
        <w:jc w:val="left"/>
        <w:rPr>
          <w:rFonts w:ascii="宋体" w:hAnsi="宋体" w:cs="宋体"/>
          <w:kern w:val="0"/>
          <w:szCs w:val="21"/>
        </w:rPr>
      </w:pPr>
      <w:r>
        <w:rPr>
          <w:rFonts w:hint="eastAsia" w:ascii="宋体" w:hAnsi="宋体" w:cs="宋体"/>
          <w:kern w:val="0"/>
          <w:szCs w:val="21"/>
        </w:rPr>
        <w:t>单位负责人：               单位负责人：</w:t>
      </w:r>
    </w:p>
    <w:p>
      <w:pPr>
        <w:widowControl/>
        <w:spacing w:before="180" w:line="345" w:lineRule="atLeast"/>
        <w:ind w:firstLine="480"/>
        <w:jc w:val="left"/>
        <w:rPr>
          <w:rFonts w:ascii="宋体" w:hAnsi="宋体" w:cs="宋体"/>
          <w:kern w:val="0"/>
          <w:szCs w:val="21"/>
        </w:rPr>
      </w:pPr>
      <w:r>
        <w:rPr>
          <w:rFonts w:hint="eastAsia" w:ascii="宋体" w:hAnsi="宋体" w:cs="宋体"/>
          <w:kern w:val="0"/>
          <w:szCs w:val="21"/>
        </w:rPr>
        <w:t>委托代理人：                委托代理人：</w:t>
      </w:r>
    </w:p>
    <w:p>
      <w:pPr>
        <w:widowControl/>
        <w:spacing w:before="180" w:line="345" w:lineRule="atLeast"/>
        <w:ind w:firstLine="480"/>
        <w:jc w:val="left"/>
        <w:rPr>
          <w:rFonts w:ascii="宋体" w:hAnsi="宋体" w:cs="宋体"/>
          <w:kern w:val="0"/>
          <w:szCs w:val="21"/>
        </w:rPr>
      </w:pPr>
      <w:r>
        <w:rPr>
          <w:rFonts w:hint="eastAsia" w:ascii="宋体" w:hAnsi="宋体" w:cs="宋体"/>
          <w:kern w:val="0"/>
          <w:szCs w:val="21"/>
        </w:rPr>
        <w:t>联系方法：                联系方法：</w:t>
      </w:r>
    </w:p>
    <w:p>
      <w:pPr>
        <w:widowControl/>
        <w:spacing w:before="180" w:line="345" w:lineRule="atLeast"/>
        <w:ind w:firstLine="480"/>
        <w:jc w:val="left"/>
        <w:rPr>
          <w:rFonts w:ascii="宋体" w:hAnsi="宋体" w:cs="宋体"/>
          <w:kern w:val="0"/>
          <w:szCs w:val="21"/>
        </w:rPr>
      </w:pPr>
      <w:r>
        <w:rPr>
          <w:rFonts w:hint="eastAsia" w:ascii="宋体" w:hAnsi="宋体" w:cs="宋体"/>
          <w:kern w:val="0"/>
          <w:szCs w:val="21"/>
        </w:rPr>
        <w:t>开户银行：                开户银行：</w:t>
      </w:r>
    </w:p>
    <w:p>
      <w:pPr>
        <w:widowControl/>
        <w:spacing w:before="180" w:line="345" w:lineRule="atLeast"/>
        <w:ind w:firstLine="480"/>
        <w:jc w:val="left"/>
        <w:rPr>
          <w:rFonts w:ascii="宋体" w:hAnsi="宋体" w:cs="宋体"/>
          <w:kern w:val="0"/>
          <w:szCs w:val="21"/>
        </w:rPr>
      </w:pPr>
      <w:r>
        <w:rPr>
          <w:rFonts w:hint="eastAsia" w:ascii="宋体" w:hAnsi="宋体" w:cs="宋体"/>
          <w:kern w:val="0"/>
          <w:szCs w:val="21"/>
        </w:rPr>
        <w:t>账号：                  账号：</w:t>
      </w:r>
    </w:p>
    <w:p>
      <w:pPr>
        <w:widowControl/>
        <w:spacing w:before="180" w:line="345" w:lineRule="atLeast"/>
        <w:ind w:firstLine="480"/>
        <w:jc w:val="left"/>
        <w:rPr>
          <w:rFonts w:ascii="宋体" w:hAnsi="宋体" w:cs="宋体"/>
          <w:kern w:val="0"/>
          <w:szCs w:val="21"/>
        </w:rPr>
      </w:pPr>
      <w:r>
        <w:rPr>
          <w:rFonts w:hint="eastAsia" w:ascii="宋体" w:hAnsi="宋体" w:cs="宋体"/>
          <w:kern w:val="0"/>
          <w:szCs w:val="21"/>
        </w:rPr>
        <w:t> </w:t>
      </w:r>
    </w:p>
    <w:p>
      <w:pPr>
        <w:widowControl/>
        <w:spacing w:before="180" w:line="345" w:lineRule="atLeast"/>
        <w:ind w:firstLine="480"/>
        <w:jc w:val="left"/>
        <w:rPr>
          <w:rFonts w:ascii="宋体" w:hAnsi="宋体" w:cs="宋体"/>
          <w:kern w:val="0"/>
          <w:szCs w:val="21"/>
        </w:rPr>
      </w:pPr>
      <w:r>
        <w:rPr>
          <w:rFonts w:hint="eastAsia" w:ascii="宋体" w:hAnsi="宋体" w:cs="宋体"/>
          <w:kern w:val="0"/>
          <w:szCs w:val="21"/>
        </w:rPr>
        <w:t>签订地点：</w:t>
      </w:r>
      <w:r>
        <w:rPr>
          <w:rFonts w:hint="eastAsia" w:ascii="宋体" w:hAnsi="宋体" w:cs="宋体"/>
          <w:kern w:val="0"/>
          <w:szCs w:val="21"/>
          <w:u w:val="single"/>
        </w:rPr>
        <w:t>                </w:t>
      </w:r>
    </w:p>
    <w:p>
      <w:pPr>
        <w:widowControl/>
        <w:spacing w:before="180" w:line="345" w:lineRule="atLeast"/>
        <w:ind w:firstLine="480"/>
        <w:jc w:val="left"/>
        <w:rPr>
          <w:rFonts w:ascii="宋体" w:hAnsi="宋体" w:cs="宋体"/>
          <w:kern w:val="0"/>
          <w:szCs w:val="21"/>
        </w:rPr>
      </w:pPr>
      <w:r>
        <w:rPr>
          <w:rFonts w:hint="eastAsia" w:ascii="宋体" w:hAnsi="宋体" w:cs="宋体"/>
          <w:kern w:val="0"/>
          <w:szCs w:val="21"/>
        </w:rPr>
        <w:t>签订日期：</w:t>
      </w:r>
      <w:r>
        <w:rPr>
          <w:rFonts w:hint="eastAsia" w:ascii="宋体" w:hAnsi="宋体" w:cs="宋体"/>
          <w:kern w:val="0"/>
          <w:szCs w:val="21"/>
          <w:u w:val="single"/>
        </w:rPr>
        <w:t>    </w:t>
      </w:r>
      <w:r>
        <w:rPr>
          <w:rFonts w:hint="eastAsia" w:ascii="宋体" w:hAnsi="宋体" w:cs="宋体"/>
          <w:kern w:val="0"/>
          <w:szCs w:val="21"/>
        </w:rPr>
        <w:t>年</w:t>
      </w:r>
      <w:r>
        <w:rPr>
          <w:rFonts w:hint="eastAsia" w:ascii="宋体" w:hAnsi="宋体" w:cs="宋体"/>
          <w:kern w:val="0"/>
          <w:szCs w:val="21"/>
          <w:u w:val="single"/>
        </w:rPr>
        <w:t>   </w:t>
      </w:r>
      <w:r>
        <w:rPr>
          <w:rFonts w:hint="eastAsia" w:ascii="宋体" w:hAnsi="宋体" w:cs="宋体"/>
          <w:kern w:val="0"/>
          <w:szCs w:val="21"/>
        </w:rPr>
        <w:t>月</w:t>
      </w:r>
      <w:r>
        <w:rPr>
          <w:rFonts w:hint="eastAsia" w:ascii="宋体" w:hAnsi="宋体" w:cs="宋体"/>
          <w:kern w:val="0"/>
          <w:szCs w:val="21"/>
          <w:u w:val="single"/>
        </w:rPr>
        <w:t>   </w:t>
      </w:r>
      <w:r>
        <w:rPr>
          <w:rFonts w:hint="eastAsia" w:ascii="宋体" w:hAnsi="宋体" w:cs="宋体"/>
          <w:kern w:val="0"/>
          <w:szCs w:val="21"/>
        </w:rPr>
        <w:t>日</w:t>
      </w:r>
    </w:p>
    <w:p>
      <w:pPr>
        <w:widowControl/>
        <w:spacing w:before="180" w:after="240" w:line="345" w:lineRule="atLeast"/>
        <w:ind w:firstLine="480"/>
        <w:jc w:val="left"/>
        <w:rPr>
          <w:rFonts w:ascii="宋体" w:hAnsi="宋体" w:cs="宋体"/>
          <w:kern w:val="0"/>
          <w:szCs w:val="21"/>
        </w:rPr>
      </w:pP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24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Calibri" w:hAnsi="Calibri" w:eastAsia="宋体" w:cs="宋体"/>
          <w:kern w:val="0"/>
          <w:szCs w:val="21"/>
        </w:rPr>
        <w:t>                                                                                  </w:t>
      </w:r>
    </w:p>
    <w:p>
      <w:pPr>
        <w:widowControl/>
        <w:spacing w:before="75" w:after="75"/>
        <w:jc w:val="center"/>
        <w:outlineLvl w:val="0"/>
        <w:rPr>
          <w:rFonts w:ascii="宋体" w:hAnsi="宋体" w:eastAsia="宋体" w:cs="宋体"/>
          <w:kern w:val="0"/>
          <w:sz w:val="24"/>
          <w:szCs w:val="24"/>
        </w:rPr>
      </w:pPr>
      <w:bookmarkStart w:id="6" w:name="_Toc18052"/>
      <w:r>
        <w:rPr>
          <w:rFonts w:ascii="宋体" w:hAnsi="宋体" w:eastAsia="宋体" w:cs="宋体"/>
          <w:b/>
          <w:bCs/>
          <w:kern w:val="0"/>
          <w:sz w:val="32"/>
        </w:rPr>
        <w:t>第七章   投标文件格式</w:t>
      </w:r>
      <w:bookmarkEnd w:id="6"/>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4"/>
          <w:szCs w:val="24"/>
        </w:rPr>
        <w:t>编制说明</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1、除招标文件另有规定外，本章中：</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1.1涉及投标人的</w:t>
      </w:r>
      <w:r>
        <w:rPr>
          <w:rFonts w:ascii="宋体" w:hAnsi="宋体" w:eastAsia="宋体" w:cs="宋体"/>
          <w:b/>
          <w:bCs/>
          <w:kern w:val="0"/>
          <w:sz w:val="24"/>
          <w:szCs w:val="24"/>
        </w:rPr>
        <w:t>“全称”</w:t>
      </w:r>
      <w:r>
        <w:rPr>
          <w:rFonts w:ascii="宋体" w:hAnsi="宋体" w:eastAsia="宋体" w:cs="宋体"/>
          <w:kern w:val="0"/>
          <w:sz w:val="24"/>
          <w:szCs w:val="24"/>
        </w:rPr>
        <w:t>：</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（1）不接受联合体投标的，指</w:t>
      </w:r>
      <w:r>
        <w:rPr>
          <w:rFonts w:ascii="宋体" w:hAnsi="宋体" w:eastAsia="宋体" w:cs="宋体"/>
          <w:b/>
          <w:bCs/>
          <w:kern w:val="0"/>
          <w:sz w:val="24"/>
          <w:szCs w:val="24"/>
        </w:rPr>
        <w:t>投标人的全称</w:t>
      </w:r>
      <w:r>
        <w:rPr>
          <w:rFonts w:ascii="宋体" w:hAnsi="宋体" w:eastAsia="宋体" w:cs="宋体"/>
          <w:kern w:val="0"/>
          <w:sz w:val="24"/>
          <w:szCs w:val="24"/>
        </w:rPr>
        <w:t>。</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（2）接受联合体投标且投标人为联合体的，指</w:t>
      </w:r>
      <w:r>
        <w:rPr>
          <w:rFonts w:ascii="宋体" w:hAnsi="宋体" w:eastAsia="宋体" w:cs="宋体"/>
          <w:b/>
          <w:bCs/>
          <w:kern w:val="0"/>
          <w:sz w:val="24"/>
          <w:szCs w:val="24"/>
        </w:rPr>
        <w:t>牵头方的全称</w:t>
      </w:r>
      <w:r>
        <w:rPr>
          <w:rFonts w:ascii="宋体" w:hAnsi="宋体" w:eastAsia="宋体" w:cs="宋体"/>
          <w:kern w:val="0"/>
          <w:sz w:val="24"/>
          <w:szCs w:val="24"/>
        </w:rPr>
        <w:t>并加注</w:t>
      </w:r>
      <w:r>
        <w:rPr>
          <w:rFonts w:ascii="宋体" w:hAnsi="宋体" w:eastAsia="宋体" w:cs="宋体"/>
          <w:b/>
          <w:bCs/>
          <w:kern w:val="0"/>
          <w:sz w:val="24"/>
          <w:szCs w:val="24"/>
        </w:rPr>
        <w:t>（联合体牵头方）</w:t>
      </w:r>
      <w:r>
        <w:rPr>
          <w:rFonts w:ascii="宋体" w:hAnsi="宋体" w:eastAsia="宋体" w:cs="宋体"/>
          <w:kern w:val="0"/>
          <w:sz w:val="24"/>
          <w:szCs w:val="24"/>
        </w:rPr>
        <w:t>，即应表述为：</w:t>
      </w:r>
      <w:r>
        <w:rPr>
          <w:rFonts w:ascii="宋体" w:hAnsi="宋体" w:eastAsia="宋体" w:cs="宋体"/>
          <w:b/>
          <w:bCs/>
          <w:kern w:val="0"/>
          <w:sz w:val="24"/>
          <w:szCs w:val="24"/>
        </w:rPr>
        <w:t>“牵头方的全称（联合体牵头方）”</w:t>
      </w:r>
      <w:r>
        <w:rPr>
          <w:rFonts w:ascii="宋体" w:hAnsi="宋体" w:eastAsia="宋体" w:cs="宋体"/>
          <w:kern w:val="0"/>
          <w:sz w:val="24"/>
          <w:szCs w:val="24"/>
        </w:rPr>
        <w:t>。</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1.2涉及投标人</w:t>
      </w:r>
      <w:r>
        <w:rPr>
          <w:rFonts w:ascii="宋体" w:hAnsi="宋体" w:eastAsia="宋体" w:cs="宋体"/>
          <w:b/>
          <w:bCs/>
          <w:kern w:val="0"/>
          <w:sz w:val="24"/>
          <w:szCs w:val="24"/>
        </w:rPr>
        <w:t>“加盖单位公章”</w:t>
      </w:r>
      <w:r>
        <w:rPr>
          <w:rFonts w:ascii="宋体" w:hAnsi="宋体" w:eastAsia="宋体" w:cs="宋体"/>
          <w:kern w:val="0"/>
          <w:sz w:val="24"/>
          <w:szCs w:val="24"/>
        </w:rPr>
        <w:t>：</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（1）不接受联合体投标的，指</w:t>
      </w:r>
      <w:r>
        <w:rPr>
          <w:rFonts w:ascii="宋体" w:hAnsi="宋体" w:eastAsia="宋体" w:cs="宋体"/>
          <w:b/>
          <w:bCs/>
          <w:kern w:val="0"/>
          <w:sz w:val="24"/>
          <w:szCs w:val="24"/>
        </w:rPr>
        <w:t>加盖投标人的单位公章</w:t>
      </w:r>
      <w:r>
        <w:rPr>
          <w:rFonts w:ascii="宋体" w:hAnsi="宋体" w:eastAsia="宋体" w:cs="宋体"/>
          <w:kern w:val="0"/>
          <w:sz w:val="24"/>
          <w:szCs w:val="24"/>
        </w:rPr>
        <w:t>。</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（2）接受联合体投标且投标人为联合体的，</w:t>
      </w:r>
      <w:r>
        <w:rPr>
          <w:rFonts w:ascii="宋体" w:hAnsi="宋体" w:eastAsia="宋体" w:cs="宋体"/>
          <w:b/>
          <w:bCs/>
          <w:kern w:val="0"/>
          <w:sz w:val="24"/>
          <w:szCs w:val="24"/>
        </w:rPr>
        <w:t>指加盖联合体牵头方的单位公章</w:t>
      </w:r>
      <w:r>
        <w:rPr>
          <w:rFonts w:ascii="宋体" w:hAnsi="宋体" w:eastAsia="宋体" w:cs="宋体"/>
          <w:kern w:val="0"/>
          <w:sz w:val="24"/>
          <w:szCs w:val="24"/>
        </w:rPr>
        <w:t>。</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1.3涉及</w:t>
      </w:r>
      <w:r>
        <w:rPr>
          <w:rFonts w:ascii="宋体" w:hAnsi="宋体" w:eastAsia="宋体" w:cs="宋体"/>
          <w:b/>
          <w:bCs/>
          <w:kern w:val="0"/>
          <w:sz w:val="24"/>
          <w:szCs w:val="24"/>
        </w:rPr>
        <w:t>“投标人代表签字”</w:t>
      </w:r>
      <w:r>
        <w:rPr>
          <w:rFonts w:ascii="宋体" w:hAnsi="宋体" w:eastAsia="宋体" w:cs="宋体"/>
          <w:kern w:val="0"/>
          <w:sz w:val="24"/>
          <w:szCs w:val="24"/>
        </w:rPr>
        <w:t>：</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（1）不接受联合体投标的，指由</w:t>
      </w:r>
      <w:r>
        <w:rPr>
          <w:rFonts w:ascii="宋体" w:hAnsi="宋体" w:eastAsia="宋体" w:cs="宋体"/>
          <w:b/>
          <w:bCs/>
          <w:kern w:val="0"/>
          <w:sz w:val="24"/>
          <w:szCs w:val="24"/>
        </w:rPr>
        <w:t>投标人的单位负责人或其授权的委托代理人签字</w:t>
      </w:r>
      <w:r>
        <w:rPr>
          <w:rFonts w:ascii="宋体" w:hAnsi="宋体" w:eastAsia="宋体" w:cs="宋体"/>
          <w:kern w:val="0"/>
          <w:sz w:val="24"/>
          <w:szCs w:val="24"/>
        </w:rPr>
        <w:t>，由委托代理人签字的，应提供“单位负责人授权书”。</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（2）接受联合体投标且投标人为联合体的，指由</w:t>
      </w:r>
      <w:r>
        <w:rPr>
          <w:rFonts w:ascii="宋体" w:hAnsi="宋体" w:eastAsia="宋体" w:cs="宋体"/>
          <w:b/>
          <w:bCs/>
          <w:kern w:val="0"/>
          <w:sz w:val="24"/>
          <w:szCs w:val="24"/>
        </w:rPr>
        <w:t>联合体牵头方的单位负责人或其授权的委托代理人签字</w:t>
      </w:r>
      <w:r>
        <w:rPr>
          <w:rFonts w:ascii="宋体" w:hAnsi="宋体" w:eastAsia="宋体" w:cs="宋体"/>
          <w:kern w:val="0"/>
          <w:sz w:val="24"/>
          <w:szCs w:val="24"/>
        </w:rPr>
        <w:t>，由委托代理人签字的，应提供“单位负责人授权书”。</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1.4</w:t>
      </w:r>
      <w:r>
        <w:rPr>
          <w:rFonts w:ascii="宋体" w:hAnsi="宋体" w:eastAsia="宋体" w:cs="宋体"/>
          <w:b/>
          <w:bCs/>
          <w:kern w:val="0"/>
          <w:sz w:val="24"/>
          <w:szCs w:val="24"/>
        </w:rPr>
        <w:t>“其他组织”</w:t>
      </w:r>
      <w:r>
        <w:rPr>
          <w:rFonts w:ascii="宋体" w:hAnsi="宋体" w:eastAsia="宋体" w:cs="宋体"/>
          <w:kern w:val="0"/>
          <w:sz w:val="24"/>
          <w:szCs w:val="24"/>
        </w:rPr>
        <w:t>指合伙企业、非企业专业服务机构、个体工商户、农村承包经营户等。</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1.5</w:t>
      </w:r>
      <w:r>
        <w:rPr>
          <w:rFonts w:ascii="宋体" w:hAnsi="宋体" w:eastAsia="宋体" w:cs="宋体"/>
          <w:b/>
          <w:bCs/>
          <w:kern w:val="0"/>
          <w:sz w:val="24"/>
          <w:szCs w:val="24"/>
        </w:rPr>
        <w:t>“自然人”</w:t>
      </w:r>
      <w:r>
        <w:rPr>
          <w:rFonts w:ascii="宋体" w:hAnsi="宋体" w:eastAsia="宋体" w:cs="宋体"/>
          <w:kern w:val="0"/>
          <w:sz w:val="24"/>
          <w:szCs w:val="24"/>
        </w:rPr>
        <w:t>指具有完全民事行为能力、能够承担民事责任和义务的中国公民。</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2、除招标文件另有规定外，本章中</w:t>
      </w:r>
      <w:r>
        <w:rPr>
          <w:rFonts w:ascii="宋体" w:hAnsi="宋体" w:eastAsia="宋体" w:cs="宋体"/>
          <w:b/>
          <w:bCs/>
          <w:kern w:val="0"/>
          <w:sz w:val="24"/>
          <w:szCs w:val="24"/>
        </w:rPr>
        <w:t>“投标人的资格及资信证明文件”</w:t>
      </w:r>
      <w:r>
        <w:rPr>
          <w:rFonts w:ascii="宋体" w:hAnsi="宋体" w:eastAsia="宋体" w:cs="宋体"/>
          <w:kern w:val="0"/>
          <w:sz w:val="24"/>
          <w:szCs w:val="24"/>
        </w:rPr>
        <w:t>：</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2.1投标人应按照招标文件第四章第</w:t>
      </w:r>
      <w:r>
        <w:rPr>
          <w:rFonts w:ascii="Calibri" w:hAnsi="Calibri" w:eastAsia="宋体" w:cs="宋体"/>
          <w:kern w:val="0"/>
          <w:sz w:val="24"/>
          <w:szCs w:val="24"/>
        </w:rPr>
        <w:t>1.3</w:t>
      </w:r>
      <w:r>
        <w:rPr>
          <w:rFonts w:ascii="宋体" w:hAnsi="宋体" w:eastAsia="宋体" w:cs="宋体"/>
          <w:kern w:val="0"/>
          <w:sz w:val="24"/>
          <w:szCs w:val="24"/>
        </w:rPr>
        <w:t>条第（</w:t>
      </w:r>
      <w:r>
        <w:rPr>
          <w:rFonts w:ascii="Calibri" w:hAnsi="Calibri" w:eastAsia="宋体" w:cs="宋体"/>
          <w:kern w:val="0"/>
          <w:sz w:val="24"/>
          <w:szCs w:val="24"/>
        </w:rPr>
        <w:t>2</w:t>
      </w:r>
      <w:r>
        <w:rPr>
          <w:rFonts w:ascii="宋体" w:hAnsi="宋体" w:eastAsia="宋体" w:cs="宋体"/>
          <w:kern w:val="0"/>
          <w:sz w:val="24"/>
          <w:szCs w:val="24"/>
        </w:rPr>
        <w:t>）款规定及本章规定进行编制，如有必要，可增加附页，附页作为资格及资信文件的组成部分。</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2.2接受联合体投标且投标人为联合体的，联合体中的各方均应按照本章第</w:t>
      </w:r>
      <w:r>
        <w:rPr>
          <w:rFonts w:ascii="Calibri" w:hAnsi="Calibri" w:eastAsia="宋体" w:cs="宋体"/>
          <w:kern w:val="0"/>
          <w:sz w:val="24"/>
          <w:szCs w:val="24"/>
        </w:rPr>
        <w:t>2.1</w:t>
      </w:r>
      <w:r>
        <w:rPr>
          <w:rFonts w:ascii="宋体" w:hAnsi="宋体" w:eastAsia="宋体" w:cs="宋体"/>
          <w:kern w:val="0"/>
          <w:sz w:val="24"/>
          <w:szCs w:val="24"/>
        </w:rPr>
        <w:t>条规定提交相应的全部资料。</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3、投标人对投标文件的索引应编制页码。</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4、除招标文件另有规定外，本章中：</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4.2除《检察机关行贿犯罪档案查询结果告知函》外，若投标人提供注明“复印件无效”的证明材料或资料，其纸质投标文件正本中应提供原件。</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4.3《检察机关行贿犯罪档案查询结果告知函》：投标人在纸质投标文件正本中提供原件、复印件（含扫描件）、符合本章规定的打印件（或截图）皆可。</w:t>
      </w:r>
    </w:p>
    <w:p>
      <w:pPr>
        <w:widowControl/>
        <w:spacing w:before="100" w:beforeAutospacing="1" w:after="100" w:afterAutospacing="1"/>
        <w:jc w:val="left"/>
        <w:rPr>
          <w:rFonts w:ascii="宋体" w:hAnsi="宋体" w:eastAsia="宋体" w:cs="宋体"/>
          <w:kern w:val="0"/>
          <w:sz w:val="24"/>
          <w:szCs w:val="24"/>
        </w:rPr>
      </w:pP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Cs w:val="21"/>
        </w:rPr>
      </w:pPr>
      <w:r>
        <w:rPr>
          <w:rFonts w:ascii="宋体" w:hAnsi="宋体" w:eastAsia="宋体" w:cs="宋体"/>
          <w:kern w:val="0"/>
          <w:szCs w:val="21"/>
        </w:rPr>
        <w:t> </w:t>
      </w:r>
    </w:p>
    <w:p>
      <w:pPr>
        <w:pStyle w:val="2"/>
        <w:rPr>
          <w:rFonts w:ascii="宋体" w:hAnsi="宋体" w:eastAsia="宋体" w:cs="宋体"/>
          <w:kern w:val="0"/>
          <w:szCs w:val="21"/>
        </w:rPr>
      </w:pPr>
    </w:p>
    <w:p>
      <w:pPr>
        <w:pStyle w:val="2"/>
        <w:rPr>
          <w:rFonts w:ascii="宋体" w:hAnsi="宋体" w:eastAsia="宋体" w:cs="宋体"/>
          <w:kern w:val="0"/>
          <w:szCs w:val="21"/>
        </w:rPr>
      </w:pPr>
    </w:p>
    <w:p>
      <w:pPr>
        <w:pStyle w:val="2"/>
        <w:rPr>
          <w:rFonts w:ascii="宋体" w:hAnsi="宋体" w:eastAsia="宋体" w:cs="宋体"/>
          <w:kern w:val="0"/>
          <w:szCs w:val="21"/>
        </w:rPr>
      </w:pPr>
    </w:p>
    <w:p>
      <w:pPr>
        <w:pStyle w:val="2"/>
        <w:rPr>
          <w:rFonts w:ascii="宋体" w:hAnsi="宋体" w:eastAsia="宋体" w:cs="宋体"/>
          <w:kern w:val="0"/>
          <w:szCs w:val="21"/>
        </w:rPr>
      </w:pPr>
    </w:p>
    <w:p>
      <w:pPr>
        <w:widowControl/>
        <w:spacing w:before="100" w:beforeAutospacing="1" w:after="100" w:afterAutospacing="1"/>
        <w:jc w:val="center"/>
        <w:outlineLvl w:val="0"/>
        <w:rPr>
          <w:rFonts w:ascii="宋体" w:hAnsi="宋体" w:eastAsia="宋体" w:cs="宋体"/>
          <w:b/>
          <w:bCs/>
          <w:kern w:val="0"/>
          <w:sz w:val="29"/>
        </w:rPr>
      </w:pPr>
    </w:p>
    <w:p>
      <w:pPr>
        <w:widowControl/>
        <w:spacing w:before="100" w:beforeAutospacing="1" w:after="100" w:afterAutospacing="1"/>
        <w:jc w:val="center"/>
        <w:outlineLvl w:val="0"/>
        <w:rPr>
          <w:rFonts w:ascii="宋体" w:hAnsi="宋体" w:eastAsia="宋体" w:cs="宋体"/>
          <w:kern w:val="0"/>
          <w:sz w:val="24"/>
          <w:szCs w:val="24"/>
        </w:rPr>
      </w:pPr>
      <w:bookmarkStart w:id="7" w:name="_Toc21210"/>
      <w:r>
        <w:rPr>
          <w:rFonts w:ascii="宋体" w:hAnsi="宋体" w:eastAsia="宋体" w:cs="宋体"/>
          <w:b/>
          <w:bCs/>
          <w:kern w:val="0"/>
          <w:sz w:val="29"/>
        </w:rPr>
        <w:t>封面格式</w:t>
      </w:r>
      <w:r>
        <w:rPr>
          <w:rFonts w:ascii="宋体" w:hAnsi="宋体" w:eastAsia="宋体" w:cs="宋体"/>
          <w:kern w:val="0"/>
          <w:sz w:val="36"/>
          <w:szCs w:val="36"/>
        </w:rPr>
        <w:t> </w:t>
      </w:r>
      <w:bookmarkEnd w:id="7"/>
    </w:p>
    <w:p>
      <w:pPr>
        <w:widowControl/>
        <w:spacing w:before="100" w:beforeAutospacing="1" w:after="100" w:afterAutospacing="1"/>
        <w:jc w:val="center"/>
        <w:rPr>
          <w:rFonts w:ascii="宋体" w:hAnsi="宋体" w:eastAsia="宋体" w:cs="宋体"/>
          <w:kern w:val="0"/>
          <w:sz w:val="84"/>
          <w:szCs w:val="84"/>
        </w:rPr>
      </w:pPr>
      <w:r>
        <w:rPr>
          <w:rFonts w:ascii="宋体" w:hAnsi="宋体" w:eastAsia="宋体" w:cs="宋体"/>
          <w:b/>
          <w:bCs/>
          <w:kern w:val="0"/>
          <w:sz w:val="84"/>
          <w:szCs w:val="84"/>
        </w:rPr>
        <w:t>投标文件</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48"/>
        </w:rPr>
        <w:t>（资格及资信证明部分）</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6"/>
          <w:u w:val="single"/>
        </w:rPr>
        <w:t>（填写正本或副本）</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rPr>
        <w:t>项目名称：</w:t>
      </w:r>
      <w:r>
        <w:rPr>
          <w:rFonts w:ascii="宋体" w:hAnsi="宋体" w:eastAsia="宋体" w:cs="宋体"/>
          <w:b/>
          <w:bCs/>
          <w:kern w:val="0"/>
          <w:sz w:val="32"/>
          <w:u w:val="single"/>
        </w:rPr>
        <w:t>（由投标人填写）</w:t>
      </w:r>
    </w:p>
    <w:p>
      <w:pPr>
        <w:widowControl/>
        <w:spacing w:before="100" w:beforeAutospacing="1" w:after="100" w:afterAutospacing="1"/>
        <w:ind w:firstLine="1920"/>
        <w:jc w:val="left"/>
        <w:rPr>
          <w:rFonts w:ascii="宋体" w:hAnsi="宋体" w:eastAsia="宋体" w:cs="宋体"/>
          <w:kern w:val="0"/>
          <w:sz w:val="24"/>
          <w:szCs w:val="24"/>
        </w:rPr>
      </w:pP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rPr>
        <w:t>招标编号：</w:t>
      </w:r>
      <w:r>
        <w:rPr>
          <w:rFonts w:ascii="宋体" w:hAnsi="宋体" w:eastAsia="宋体" w:cs="宋体"/>
          <w:b/>
          <w:bCs/>
          <w:kern w:val="0"/>
          <w:sz w:val="32"/>
          <w:u w:val="single"/>
        </w:rPr>
        <w:t>（由投标人填写）</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rPr>
        <w:t>所投合同包：</w:t>
      </w:r>
      <w:r>
        <w:rPr>
          <w:rFonts w:ascii="宋体" w:hAnsi="宋体" w:eastAsia="宋体" w:cs="宋体"/>
          <w:b/>
          <w:bCs/>
          <w:kern w:val="0"/>
          <w:sz w:val="32"/>
          <w:u w:val="single"/>
        </w:rPr>
        <w:t>（由投标人填写）</w:t>
      </w:r>
    </w:p>
    <w:p>
      <w:pPr>
        <w:widowControl/>
        <w:spacing w:before="100" w:beforeAutospacing="1" w:after="100" w:afterAutospacing="1"/>
        <w:jc w:val="left"/>
        <w:rPr>
          <w:rFonts w:ascii="宋体" w:hAnsi="宋体" w:eastAsia="宋体" w:cs="宋体"/>
          <w:kern w:val="0"/>
          <w:sz w:val="36"/>
          <w:szCs w:val="36"/>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2"/>
        </w:rPr>
        <w:t>投标人：</w:t>
      </w:r>
      <w:r>
        <w:rPr>
          <w:rFonts w:ascii="宋体" w:hAnsi="宋体" w:eastAsia="宋体" w:cs="宋体"/>
          <w:b/>
          <w:bCs/>
          <w:kern w:val="0"/>
          <w:sz w:val="32"/>
          <w:u w:val="single"/>
        </w:rPr>
        <w:t>（填写“全称”）</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2"/>
          <w:u w:val="single"/>
        </w:rPr>
        <w:t>（由投标人填写）</w:t>
      </w:r>
      <w:r>
        <w:rPr>
          <w:rFonts w:ascii="宋体" w:hAnsi="宋体" w:eastAsia="宋体" w:cs="宋体"/>
          <w:b/>
          <w:bCs/>
          <w:kern w:val="0"/>
          <w:sz w:val="32"/>
        </w:rPr>
        <w:t>年</w:t>
      </w:r>
      <w:r>
        <w:rPr>
          <w:rFonts w:ascii="宋体" w:hAnsi="宋体" w:eastAsia="宋体" w:cs="宋体"/>
          <w:b/>
          <w:bCs/>
          <w:kern w:val="0"/>
          <w:sz w:val="32"/>
          <w:u w:val="single"/>
        </w:rPr>
        <w:t>（由投标人填写）</w:t>
      </w:r>
      <w:r>
        <w:rPr>
          <w:rFonts w:ascii="宋体" w:hAnsi="宋体" w:eastAsia="宋体" w:cs="宋体"/>
          <w:b/>
          <w:bCs/>
          <w:kern w:val="0"/>
          <w:sz w:val="32"/>
        </w:rPr>
        <w:t>月</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outlineLvl w:val="0"/>
        <w:rPr>
          <w:rFonts w:ascii="宋体" w:hAnsi="宋体" w:eastAsia="宋体" w:cs="宋体"/>
          <w:kern w:val="0"/>
          <w:sz w:val="24"/>
          <w:szCs w:val="24"/>
        </w:rPr>
      </w:pPr>
      <w:bookmarkStart w:id="8" w:name="_Toc14488"/>
      <w:r>
        <w:rPr>
          <w:rFonts w:ascii="Calibri" w:hAnsi="Calibri" w:eastAsia="宋体" w:cs="宋体"/>
          <w:kern w:val="0"/>
          <w:szCs w:val="21"/>
        </w:rPr>
        <w:br w:type="textWrapping"/>
      </w:r>
      <w:r>
        <w:rPr>
          <w:rFonts w:ascii="宋体" w:hAnsi="宋体" w:eastAsia="宋体" w:cs="宋体"/>
          <w:b/>
          <w:bCs/>
          <w:kern w:val="0"/>
          <w:sz w:val="29"/>
        </w:rPr>
        <w:t>索引</w:t>
      </w:r>
      <w:bookmarkEnd w:id="8"/>
    </w:p>
    <w:p>
      <w:pPr>
        <w:widowControl/>
        <w:spacing w:before="100" w:beforeAutospacing="1" w:after="100" w:afterAutospacing="1"/>
        <w:jc w:val="left"/>
        <w:outlineLvl w:val="0"/>
        <w:rPr>
          <w:rFonts w:ascii="宋体" w:hAnsi="宋体" w:eastAsia="宋体" w:cs="宋体"/>
          <w:kern w:val="0"/>
          <w:sz w:val="24"/>
          <w:szCs w:val="24"/>
        </w:rPr>
      </w:pPr>
      <w:bookmarkStart w:id="9" w:name="_Toc31758"/>
      <w:r>
        <w:rPr>
          <w:rFonts w:ascii="宋体" w:hAnsi="宋体" w:eastAsia="宋体" w:cs="宋体"/>
          <w:kern w:val="0"/>
          <w:sz w:val="29"/>
          <w:szCs w:val="29"/>
        </w:rPr>
        <w:t>一、投标函</w:t>
      </w:r>
      <w:bookmarkEnd w:id="9"/>
    </w:p>
    <w:p>
      <w:pPr>
        <w:widowControl/>
        <w:spacing w:before="100" w:beforeAutospacing="1" w:after="100" w:afterAutospacing="1"/>
        <w:jc w:val="left"/>
        <w:outlineLvl w:val="0"/>
        <w:rPr>
          <w:rFonts w:ascii="宋体" w:hAnsi="宋体" w:eastAsia="宋体" w:cs="宋体"/>
          <w:kern w:val="0"/>
          <w:sz w:val="24"/>
          <w:szCs w:val="24"/>
        </w:rPr>
      </w:pPr>
      <w:bookmarkStart w:id="10" w:name="_Toc21711"/>
      <w:r>
        <w:rPr>
          <w:rFonts w:ascii="宋体" w:hAnsi="宋体" w:eastAsia="宋体" w:cs="宋体"/>
          <w:kern w:val="0"/>
          <w:sz w:val="29"/>
          <w:szCs w:val="29"/>
        </w:rPr>
        <w:t>二、投标人的资格及资信证明文件</w:t>
      </w:r>
      <w:bookmarkEnd w:id="10"/>
    </w:p>
    <w:p>
      <w:pPr>
        <w:widowControl/>
        <w:spacing w:before="100" w:beforeAutospacing="1" w:after="100" w:afterAutospacing="1"/>
        <w:jc w:val="left"/>
        <w:outlineLvl w:val="0"/>
        <w:rPr>
          <w:rFonts w:ascii="宋体" w:hAnsi="宋体" w:eastAsia="宋体" w:cs="宋体"/>
          <w:kern w:val="0"/>
          <w:sz w:val="24"/>
          <w:szCs w:val="24"/>
        </w:rPr>
      </w:pPr>
      <w:bookmarkStart w:id="11" w:name="_Toc7567"/>
      <w:r>
        <w:rPr>
          <w:rFonts w:ascii="宋体" w:hAnsi="宋体" w:eastAsia="宋体" w:cs="宋体"/>
          <w:kern w:val="0"/>
          <w:sz w:val="29"/>
          <w:szCs w:val="29"/>
        </w:rPr>
        <w:t>三、投标保证金</w:t>
      </w:r>
      <w:bookmarkEnd w:id="11"/>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outlineLvl w:val="0"/>
        <w:rPr>
          <w:rFonts w:ascii="宋体" w:hAnsi="宋体" w:eastAsia="宋体" w:cs="宋体"/>
          <w:kern w:val="0"/>
          <w:sz w:val="24"/>
          <w:szCs w:val="24"/>
        </w:rPr>
      </w:pPr>
      <w:bookmarkStart w:id="12" w:name="_Toc21752"/>
      <w:bookmarkStart w:id="13" w:name="_Toc6921"/>
      <w:r>
        <w:rPr>
          <w:rFonts w:hint="eastAsia" w:ascii="宋体" w:hAnsi="宋体" w:eastAsia="宋体" w:cs="宋体"/>
          <w:kern w:val="0"/>
          <w:szCs w:val="21"/>
        </w:rPr>
        <w:t>★</w:t>
      </w:r>
      <w:r>
        <w:rPr>
          <w:rFonts w:ascii="宋体" w:hAnsi="宋体" w:eastAsia="宋体" w:cs="宋体"/>
          <w:kern w:val="0"/>
          <w:szCs w:val="21"/>
        </w:rPr>
        <w:t>注意</w:t>
      </w:r>
      <w:bookmarkEnd w:id="12"/>
      <w:bookmarkEnd w:id="13"/>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资格及资信证明部分中不得出现报价部分的全部或部分的投标报价信息（或组成资料），否则</w:t>
      </w:r>
      <w:r>
        <w:rPr>
          <w:rFonts w:ascii="宋体" w:hAnsi="宋体" w:eastAsia="宋体" w:cs="宋体"/>
          <w:b/>
          <w:bCs/>
          <w:kern w:val="0"/>
        </w:rPr>
        <w:t>资格审查不合格</w:t>
      </w: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kern w:val="0"/>
          <w:szCs w:val="21"/>
        </w:rPr>
        <w:br w:type="textWrapping"/>
      </w:r>
      <w:r>
        <w:rPr>
          <w:rFonts w:ascii="宋体" w:hAnsi="宋体" w:eastAsia="宋体" w:cs="宋体"/>
          <w:b/>
          <w:bCs/>
          <w:kern w:val="0"/>
        </w:rPr>
        <w:t>一、投标函</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兹收到贵单位关于</w:t>
      </w:r>
      <w:r>
        <w:rPr>
          <w:rFonts w:ascii="宋体" w:hAnsi="宋体" w:eastAsia="宋体" w:cs="宋体"/>
          <w:kern w:val="0"/>
          <w:szCs w:val="21"/>
          <w:u w:val="single"/>
        </w:rPr>
        <w:t>（填写“项目名称”）</w:t>
      </w:r>
      <w:r>
        <w:rPr>
          <w:rFonts w:ascii="宋体" w:hAnsi="宋体" w:eastAsia="宋体" w:cs="宋体"/>
          <w:kern w:val="0"/>
          <w:szCs w:val="21"/>
        </w:rPr>
        <w:t>项目（招标编号：</w:t>
      </w:r>
      <w:r>
        <w:rPr>
          <w:rFonts w:ascii="宋体" w:hAnsi="宋体" w:eastAsia="宋体" w:cs="宋体"/>
          <w:kern w:val="0"/>
          <w:szCs w:val="21"/>
          <w:u w:val="single"/>
        </w:rPr>
        <w:t>     </w:t>
      </w:r>
      <w:r>
        <w:rPr>
          <w:rFonts w:ascii="宋体" w:hAnsi="宋体" w:eastAsia="宋体" w:cs="宋体"/>
          <w:kern w:val="0"/>
          <w:szCs w:val="21"/>
        </w:rPr>
        <w:t>）的投标邀请，本投标人代表</w:t>
      </w:r>
      <w:r>
        <w:rPr>
          <w:rFonts w:ascii="宋体" w:hAnsi="宋体" w:eastAsia="宋体" w:cs="宋体"/>
          <w:kern w:val="0"/>
          <w:szCs w:val="21"/>
          <w:u w:val="single"/>
        </w:rPr>
        <w:t>（填写“全名”）</w:t>
      </w:r>
      <w:r>
        <w:rPr>
          <w:rFonts w:ascii="宋体" w:hAnsi="宋体" w:eastAsia="宋体" w:cs="宋体"/>
          <w:kern w:val="0"/>
          <w:szCs w:val="21"/>
        </w:rPr>
        <w:t>已获得我方正式授权并代表投标人</w:t>
      </w:r>
      <w:r>
        <w:rPr>
          <w:rFonts w:ascii="宋体" w:hAnsi="宋体" w:eastAsia="宋体" w:cs="宋体"/>
          <w:kern w:val="0"/>
          <w:szCs w:val="21"/>
          <w:u w:val="single"/>
        </w:rPr>
        <w:t>（填写“全称”）</w:t>
      </w:r>
      <w:r>
        <w:rPr>
          <w:rFonts w:ascii="宋体" w:hAnsi="宋体" w:eastAsia="宋体" w:cs="宋体"/>
          <w:kern w:val="0"/>
          <w:szCs w:val="21"/>
        </w:rPr>
        <w:t>参加投标，并提交招标文件规定份数的投标文件正本和副本。我方提交的全部投标文件均由下述部分组成：</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（1）资格及资信证明部分</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①</w:t>
      </w:r>
      <w:r>
        <w:rPr>
          <w:rFonts w:ascii="宋体" w:hAnsi="宋体" w:eastAsia="宋体" w:cs="宋体"/>
          <w:kern w:val="0"/>
          <w:szCs w:val="21"/>
        </w:rPr>
        <w:t>投标函</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②</w:t>
      </w:r>
      <w:r>
        <w:rPr>
          <w:rFonts w:ascii="宋体" w:hAnsi="宋体" w:eastAsia="宋体" w:cs="宋体"/>
          <w:kern w:val="0"/>
          <w:szCs w:val="21"/>
        </w:rPr>
        <w:t>投标人的资格及资信证明文件</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③</w:t>
      </w:r>
      <w:r>
        <w:rPr>
          <w:rFonts w:ascii="宋体" w:hAnsi="宋体" w:eastAsia="宋体" w:cs="宋体"/>
          <w:kern w:val="0"/>
          <w:szCs w:val="21"/>
        </w:rPr>
        <w:t>投标保证金</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（2）报价部分</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①</w:t>
      </w:r>
      <w:r>
        <w:rPr>
          <w:rFonts w:ascii="宋体" w:hAnsi="宋体" w:eastAsia="宋体" w:cs="宋体"/>
          <w:kern w:val="0"/>
          <w:szCs w:val="21"/>
        </w:rPr>
        <w:t>开标一览表</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②</w:t>
      </w:r>
      <w:r>
        <w:rPr>
          <w:rFonts w:ascii="宋体" w:hAnsi="宋体" w:eastAsia="宋体" w:cs="宋体"/>
          <w:kern w:val="0"/>
          <w:szCs w:val="21"/>
        </w:rPr>
        <w:t>投标分项报价表</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③</w:t>
      </w:r>
      <w:r>
        <w:rPr>
          <w:rFonts w:ascii="宋体" w:hAnsi="宋体" w:eastAsia="宋体" w:cs="宋体"/>
          <w:kern w:val="0"/>
          <w:szCs w:val="21"/>
        </w:rPr>
        <w:t>招标文件规定的价格扣除证明材料（若有）</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④</w:t>
      </w:r>
      <w:r>
        <w:rPr>
          <w:rFonts w:ascii="宋体" w:hAnsi="宋体" w:eastAsia="宋体" w:cs="宋体"/>
          <w:kern w:val="0"/>
          <w:szCs w:val="21"/>
        </w:rPr>
        <w:t>招标文件规定的加分证明材料（若有）</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（3）技术商务部分</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①</w:t>
      </w:r>
      <w:r>
        <w:rPr>
          <w:rFonts w:ascii="宋体" w:hAnsi="宋体" w:eastAsia="宋体" w:cs="宋体"/>
          <w:kern w:val="0"/>
          <w:szCs w:val="21"/>
        </w:rPr>
        <w:t>标的说明一览表</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②</w:t>
      </w:r>
      <w:r>
        <w:rPr>
          <w:rFonts w:ascii="宋体" w:hAnsi="宋体" w:eastAsia="宋体" w:cs="宋体"/>
          <w:kern w:val="0"/>
          <w:szCs w:val="21"/>
        </w:rPr>
        <w:t>技术和服务要求响应表</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③</w:t>
      </w:r>
      <w:r>
        <w:rPr>
          <w:rFonts w:ascii="宋体" w:hAnsi="宋体" w:eastAsia="宋体" w:cs="宋体"/>
          <w:kern w:val="0"/>
          <w:szCs w:val="21"/>
        </w:rPr>
        <w:t>商务条件响应表</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④</w:t>
      </w:r>
      <w:r>
        <w:rPr>
          <w:rFonts w:ascii="宋体" w:hAnsi="宋体" w:eastAsia="宋体" w:cs="宋体"/>
          <w:kern w:val="0"/>
          <w:szCs w:val="21"/>
        </w:rPr>
        <w:t>投标人提交的其他资料（若有）</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根据本函，本投标人代表宣布我方保证遵守招标文件的全部规定，同时：</w:t>
      </w:r>
    </w:p>
    <w:p>
      <w:pPr>
        <w:widowControl/>
        <w:spacing w:before="100" w:beforeAutospacing="1" w:after="100" w:afterAutospacing="1"/>
        <w:ind w:firstLine="420"/>
        <w:jc w:val="left"/>
        <w:outlineLvl w:val="0"/>
        <w:rPr>
          <w:rFonts w:ascii="宋体" w:hAnsi="宋体" w:eastAsia="宋体" w:cs="宋体"/>
          <w:kern w:val="0"/>
          <w:sz w:val="24"/>
          <w:szCs w:val="24"/>
        </w:rPr>
      </w:pPr>
      <w:bookmarkStart w:id="14" w:name="_Toc6583"/>
      <w:r>
        <w:rPr>
          <w:rFonts w:ascii="宋体" w:hAnsi="宋体" w:eastAsia="宋体" w:cs="宋体"/>
          <w:kern w:val="0"/>
          <w:szCs w:val="21"/>
        </w:rPr>
        <w:t>1、</w:t>
      </w:r>
      <w:r>
        <w:rPr>
          <w:rFonts w:ascii="宋体" w:hAnsi="宋体" w:eastAsia="宋体" w:cs="宋体"/>
          <w:b/>
          <w:bCs/>
          <w:kern w:val="0"/>
        </w:rPr>
        <w:t>确认：</w:t>
      </w:r>
      <w:bookmarkEnd w:id="14"/>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1.1所投合同包的投标报价详见“开标一览表”及“投标分项报价表”。</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1.2我方已详细审查全部招标文件</w:t>
      </w:r>
      <w:r>
        <w:rPr>
          <w:rFonts w:ascii="Calibri" w:hAnsi="Calibri" w:eastAsia="宋体" w:cs="宋体"/>
          <w:kern w:val="0"/>
          <w:szCs w:val="21"/>
        </w:rPr>
        <w:t>[</w:t>
      </w:r>
      <w:r>
        <w:rPr>
          <w:rFonts w:ascii="宋体" w:hAnsi="宋体" w:eastAsia="宋体" w:cs="宋体"/>
          <w:kern w:val="0"/>
          <w:szCs w:val="21"/>
        </w:rPr>
        <w:t>包括但不限于：有关附件（若有）、澄清或修改（若有）等</w:t>
      </w:r>
      <w:r>
        <w:rPr>
          <w:rFonts w:ascii="Calibri" w:hAnsi="Calibri" w:eastAsia="宋体" w:cs="宋体"/>
          <w:kern w:val="0"/>
          <w:szCs w:val="21"/>
        </w:rPr>
        <w:t>]</w:t>
      </w:r>
      <w:r>
        <w:rPr>
          <w:rFonts w:ascii="宋体" w:hAnsi="宋体" w:eastAsia="宋体" w:cs="宋体"/>
          <w:kern w:val="0"/>
          <w:szCs w:val="21"/>
        </w:rPr>
        <w:t>，并自行承担因对全部招标文件理解不正确或误解而产生的相应后果和责任。</w:t>
      </w:r>
    </w:p>
    <w:p>
      <w:pPr>
        <w:widowControl/>
        <w:spacing w:before="100" w:beforeAutospacing="1" w:after="100" w:afterAutospacing="1"/>
        <w:ind w:firstLine="420"/>
        <w:jc w:val="left"/>
        <w:outlineLvl w:val="0"/>
        <w:rPr>
          <w:rFonts w:ascii="宋体" w:hAnsi="宋体" w:eastAsia="宋体" w:cs="宋体"/>
          <w:kern w:val="0"/>
          <w:sz w:val="24"/>
          <w:szCs w:val="24"/>
        </w:rPr>
      </w:pPr>
      <w:bookmarkStart w:id="15" w:name="_Toc27322"/>
      <w:r>
        <w:rPr>
          <w:rFonts w:ascii="宋体" w:hAnsi="宋体" w:eastAsia="宋体" w:cs="宋体"/>
          <w:kern w:val="0"/>
          <w:szCs w:val="21"/>
        </w:rPr>
        <w:t>2、</w:t>
      </w:r>
      <w:r>
        <w:rPr>
          <w:rFonts w:ascii="宋体" w:hAnsi="宋体" w:eastAsia="宋体" w:cs="宋体"/>
          <w:b/>
          <w:bCs/>
          <w:kern w:val="0"/>
        </w:rPr>
        <w:t>承诺及声明：</w:t>
      </w:r>
      <w:bookmarkEnd w:id="15"/>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2.1我方具备招标文件第一章载明的“投标人的资格要求”且符合招标文件第三章载明的“二、投标人”之规定，否则</w:t>
      </w:r>
      <w:r>
        <w:rPr>
          <w:rFonts w:ascii="宋体" w:hAnsi="宋体" w:eastAsia="宋体" w:cs="宋体"/>
          <w:b/>
          <w:bCs/>
          <w:kern w:val="0"/>
        </w:rPr>
        <w:t>投标无效。</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2.2我方提交的投标文件各组成部分的全部内容及资料是不可割离且真实、有效、准确、完整和不具有任何误导性的，否则产生不利后果由我方承担责任。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2.3我方提供的标的价格不高于同期市场价格，否则产生不利后果由我方承担责任。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2.4投标保证金：若出现招标文件第三章规定的不予退还情形，同意贵单位不予退还。</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2.5投标有效期：按照招标文件第三章规定执行，并在招标文件第二章载明的期限内保持有效。</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2.6若中标，将按照招标文件、我方投标文件及政府采购合同履行责任和义务。</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2.7若贵单位要求，我方同意提供与本项目投标有关的一切资料、数据或文件，并完全理解贵单位不一定要接受最低的投标报价或收到的任何投标。</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2.8除招标文件另有规定外，对于贵单位按照下述联络方式发出的任何信息或通知，均视为我方已收悉前述信息或通知的全部内容：</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通信地址：</w:t>
      </w:r>
      <w:r>
        <w:rPr>
          <w:rFonts w:ascii="宋体" w:hAnsi="宋体" w:eastAsia="宋体" w:cs="宋体"/>
          <w:kern w:val="0"/>
          <w:szCs w:val="21"/>
          <w:u w:val="single"/>
        </w:rPr>
        <w:t>                                        </w:t>
      </w:r>
      <w:r>
        <w:rPr>
          <w:rFonts w:ascii="宋体" w:hAnsi="宋体" w:eastAsia="宋体" w:cs="宋体"/>
          <w:kern w:val="0"/>
          <w:szCs w:val="21"/>
        </w:rPr>
        <w:t>邮编：</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联系方法：</w:t>
      </w:r>
      <w:r>
        <w:rPr>
          <w:rFonts w:ascii="宋体" w:hAnsi="宋体" w:eastAsia="宋体" w:cs="宋体"/>
          <w:kern w:val="0"/>
          <w:szCs w:val="21"/>
          <w:u w:val="single"/>
        </w:rPr>
        <w:t>（包括但不限于：联系人、联系电话、手机、传真、电子邮箱等）</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kern w:val="0"/>
          <w:szCs w:val="21"/>
        </w:rPr>
        <w:br w:type="textWrapping"/>
      </w:r>
      <w:r>
        <w:rPr>
          <w:rFonts w:ascii="宋体" w:hAnsi="宋体" w:eastAsia="宋体" w:cs="宋体"/>
          <w:b/>
          <w:bCs/>
          <w:kern w:val="0"/>
        </w:rPr>
        <w:t>二、投标人的资格及资信证明文件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rPr>
        <w:t>二-1单位负责人授权书（若有）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我方的单位负责人</w:t>
      </w:r>
      <w:r>
        <w:rPr>
          <w:rFonts w:ascii="宋体" w:hAnsi="宋体" w:eastAsia="宋体" w:cs="宋体"/>
          <w:kern w:val="0"/>
          <w:szCs w:val="21"/>
          <w:u w:val="single"/>
        </w:rPr>
        <w:t>（填写“单位负责人全名”）</w:t>
      </w:r>
      <w:r>
        <w:rPr>
          <w:rFonts w:ascii="宋体" w:hAnsi="宋体" w:eastAsia="宋体" w:cs="宋体"/>
          <w:kern w:val="0"/>
          <w:szCs w:val="21"/>
        </w:rPr>
        <w:t>授权</w:t>
      </w:r>
      <w:r>
        <w:rPr>
          <w:rFonts w:ascii="宋体" w:hAnsi="宋体" w:eastAsia="宋体" w:cs="宋体"/>
          <w:kern w:val="0"/>
          <w:szCs w:val="21"/>
          <w:u w:val="single"/>
        </w:rPr>
        <w:t>（填写“投标人代表全名”）</w:t>
      </w:r>
      <w:r>
        <w:rPr>
          <w:rFonts w:ascii="宋体" w:hAnsi="宋体" w:eastAsia="宋体" w:cs="宋体"/>
          <w:kern w:val="0"/>
          <w:szCs w:val="21"/>
        </w:rPr>
        <w:t>为投标人代表，代表我方参加</w:t>
      </w:r>
      <w:r>
        <w:rPr>
          <w:rFonts w:ascii="宋体" w:hAnsi="宋体" w:eastAsia="宋体" w:cs="宋体"/>
          <w:kern w:val="0"/>
          <w:szCs w:val="21"/>
          <w:u w:val="single"/>
        </w:rPr>
        <w:t>（填写“项目名称”）</w:t>
      </w:r>
      <w:r>
        <w:rPr>
          <w:rFonts w:ascii="宋体" w:hAnsi="宋体" w:eastAsia="宋体" w:cs="宋体"/>
          <w:kern w:val="0"/>
          <w:szCs w:val="21"/>
        </w:rPr>
        <w:t>项目（招标编号：</w:t>
      </w:r>
      <w:r>
        <w:rPr>
          <w:rFonts w:ascii="宋体" w:hAnsi="宋体" w:eastAsia="宋体" w:cs="宋体"/>
          <w:kern w:val="0"/>
          <w:szCs w:val="21"/>
          <w:u w:val="single"/>
        </w:rPr>
        <w:t>         </w:t>
      </w:r>
      <w:r>
        <w:rPr>
          <w:rFonts w:ascii="宋体" w:hAnsi="宋体" w:eastAsia="宋体" w:cs="宋体"/>
          <w:kern w:val="0"/>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投标人代表无转委权。特此授权。</w:t>
      </w:r>
    </w:p>
    <w:p>
      <w:pPr>
        <w:widowControl/>
        <w:spacing w:before="100" w:beforeAutospacing="1" w:after="100" w:afterAutospacing="1"/>
        <w:jc w:val="center"/>
        <w:outlineLvl w:val="0"/>
        <w:rPr>
          <w:rFonts w:ascii="宋体" w:hAnsi="宋体" w:eastAsia="宋体" w:cs="宋体"/>
          <w:kern w:val="0"/>
          <w:sz w:val="24"/>
          <w:szCs w:val="24"/>
        </w:rPr>
      </w:pPr>
      <w:bookmarkStart w:id="16" w:name="_Toc14685"/>
      <w:bookmarkStart w:id="17" w:name="_Toc32675"/>
      <w:r>
        <w:rPr>
          <w:rFonts w:ascii="宋体" w:hAnsi="宋体" w:eastAsia="宋体" w:cs="宋体"/>
          <w:kern w:val="0"/>
          <w:szCs w:val="21"/>
        </w:rPr>
        <w:t>（以下无正文）</w:t>
      </w:r>
      <w:bookmarkEnd w:id="16"/>
      <w:bookmarkEnd w:id="17"/>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单位负责人：</w:t>
      </w:r>
      <w:r>
        <w:rPr>
          <w:rFonts w:ascii="宋体" w:hAnsi="宋体" w:eastAsia="宋体" w:cs="宋体"/>
          <w:kern w:val="0"/>
          <w:szCs w:val="21"/>
          <w:u w:val="single"/>
        </w:rPr>
        <w:t>             </w:t>
      </w:r>
      <w:r>
        <w:rPr>
          <w:rFonts w:ascii="宋体" w:hAnsi="宋体" w:eastAsia="宋体" w:cs="宋体"/>
          <w:kern w:val="0"/>
          <w:szCs w:val="21"/>
        </w:rPr>
        <w:t>身份证号：</w:t>
      </w:r>
      <w:r>
        <w:rPr>
          <w:rFonts w:ascii="宋体" w:hAnsi="宋体" w:eastAsia="宋体" w:cs="宋体"/>
          <w:kern w:val="0"/>
          <w:szCs w:val="21"/>
          <w:u w:val="single"/>
        </w:rPr>
        <w:t>                        </w:t>
      </w:r>
      <w:r>
        <w:rPr>
          <w:rFonts w:ascii="宋体" w:hAnsi="宋体" w:eastAsia="宋体" w:cs="宋体"/>
          <w:kern w:val="0"/>
          <w:szCs w:val="21"/>
        </w:rPr>
        <w:t>手机：</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w:t>
      </w:r>
      <w:r>
        <w:rPr>
          <w:rFonts w:ascii="宋体" w:hAnsi="宋体" w:eastAsia="宋体" w:cs="宋体"/>
          <w:kern w:val="0"/>
          <w:szCs w:val="21"/>
          <w:u w:val="single"/>
        </w:rPr>
        <w:t>             </w:t>
      </w:r>
      <w:r>
        <w:rPr>
          <w:rFonts w:ascii="宋体" w:hAnsi="宋体" w:eastAsia="宋体" w:cs="宋体"/>
          <w:kern w:val="0"/>
          <w:szCs w:val="21"/>
        </w:rPr>
        <w:t>身份证号：</w:t>
      </w:r>
      <w:r>
        <w:rPr>
          <w:rFonts w:ascii="宋体" w:hAnsi="宋体" w:eastAsia="宋体" w:cs="宋体"/>
          <w:kern w:val="0"/>
          <w:szCs w:val="21"/>
          <w:u w:val="single"/>
        </w:rPr>
        <w:t>                        </w:t>
      </w:r>
      <w:r>
        <w:rPr>
          <w:rFonts w:ascii="宋体" w:hAnsi="宋体" w:eastAsia="宋体" w:cs="宋体"/>
          <w:kern w:val="0"/>
          <w:szCs w:val="21"/>
        </w:rPr>
        <w:t>手机：</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授权方</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单位负责人签字或盖章：</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接受授权方</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Cs w:val="21"/>
        </w:rPr>
        <w:t>签署日期：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附：单位负责人、投标人代表的身份证正反面复印件</w:t>
      </w:r>
    </w:p>
    <w:tbl>
      <w:tblPr>
        <w:tblStyle w:val="16"/>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52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rPr>
              <w:t>要求：真实有效且内容完整、清晰、整洁。</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rPr>
              <w:t> </w:t>
            </w:r>
          </w:p>
        </w:tc>
      </w:tr>
    </w:tbl>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1、企业（银行、保险、石油石化、电力、电信等行业除外）、事业单位和社会团体法人的“单位负责人”指</w:t>
      </w:r>
      <w:r>
        <w:rPr>
          <w:rFonts w:ascii="宋体" w:hAnsi="宋体" w:eastAsia="宋体" w:cs="宋体"/>
          <w:b/>
          <w:bCs/>
          <w:kern w:val="0"/>
        </w:rPr>
        <w:t>法定代表人</w:t>
      </w:r>
      <w:r>
        <w:rPr>
          <w:rFonts w:ascii="宋体" w:hAnsi="宋体" w:eastAsia="宋体" w:cs="宋体"/>
          <w:kern w:val="0"/>
          <w:szCs w:val="21"/>
        </w:rPr>
        <w:t>，即与实际提交的“营业执照等证明文件”载明的一致。</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3、投标人（自然人除外）：若投标人代表为单位负责人授权的委托代理人，应提供本授权书；若投标人代表为单位负责人，应在此项下提交其身份证正反面复印件，可不提供本授权书。</w:t>
      </w:r>
      <w:r>
        <w:rPr>
          <w:rFonts w:ascii="宋体" w:hAnsi="宋体" w:eastAsia="宋体" w:cs="宋体"/>
          <w:kern w:val="0"/>
          <w:szCs w:val="21"/>
        </w:rPr>
        <w:br w:type="textWrapping"/>
      </w:r>
      <w:r>
        <w:rPr>
          <w:rFonts w:ascii="宋体" w:hAnsi="宋体" w:eastAsia="宋体" w:cs="宋体"/>
          <w:kern w:val="0"/>
          <w:szCs w:val="21"/>
        </w:rPr>
        <w:t>4、投标人为自然人的，可不填写本授权书。</w:t>
      </w:r>
      <w:r>
        <w:rPr>
          <w:rFonts w:ascii="宋体" w:hAnsi="宋体" w:eastAsia="宋体" w:cs="宋体"/>
          <w:kern w:val="0"/>
          <w:szCs w:val="21"/>
        </w:rPr>
        <w:br w:type="textWrapping"/>
      </w:r>
      <w:r>
        <w:rPr>
          <w:rFonts w:ascii="宋体" w:hAnsi="宋体" w:eastAsia="宋体" w:cs="宋体"/>
          <w:kern w:val="0"/>
          <w:szCs w:val="21"/>
        </w:rPr>
        <w:t xml:space="preserve">5、纸质投标文件正本中的本授权书（若有）应为原件。 </w:t>
      </w:r>
    </w:p>
    <w:p>
      <w:pPr>
        <w:widowControl/>
        <w:spacing w:before="100" w:beforeAutospacing="1" w:after="100" w:afterAutospacing="1"/>
        <w:jc w:val="left"/>
        <w:rPr>
          <w:rFonts w:ascii="宋体" w:hAnsi="宋体" w:eastAsia="宋体" w:cs="宋体"/>
          <w:kern w:val="0"/>
          <w:sz w:val="24"/>
          <w:szCs w:val="24"/>
        </w:rPr>
      </w:pP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kern w:val="0"/>
          <w:szCs w:val="21"/>
        </w:rPr>
        <w:br w:type="textWrapping"/>
      </w:r>
      <w:r>
        <w:rPr>
          <w:rFonts w:ascii="宋体" w:hAnsi="宋体" w:eastAsia="宋体" w:cs="宋体"/>
          <w:b/>
          <w:bCs/>
          <w:kern w:val="0"/>
        </w:rPr>
        <w:t>二-2营业执照等证明文件</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）投标人为法人（包括企业、事业单位和社会团体）的</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现附上由</w:t>
      </w:r>
      <w:r>
        <w:rPr>
          <w:rFonts w:ascii="宋体" w:hAnsi="宋体" w:eastAsia="宋体" w:cs="宋体"/>
          <w:kern w:val="0"/>
          <w:szCs w:val="21"/>
          <w:u w:val="single"/>
        </w:rPr>
        <w:t>（填写“签发机关全称”）</w:t>
      </w:r>
      <w:r>
        <w:rPr>
          <w:rFonts w:ascii="宋体" w:hAnsi="宋体" w:eastAsia="宋体" w:cs="宋体"/>
          <w:kern w:val="0"/>
          <w:szCs w:val="21"/>
        </w:rPr>
        <w:t>签发的我方统一社会信用代码</w:t>
      </w:r>
      <w:r>
        <w:rPr>
          <w:rFonts w:ascii="宋体" w:hAnsi="宋体" w:eastAsia="宋体" w:cs="宋体"/>
          <w:kern w:val="0"/>
          <w:szCs w:val="21"/>
          <w:u w:val="single"/>
        </w:rPr>
        <w:t>（请填写法人的具体证照名称）</w:t>
      </w:r>
      <w:r>
        <w:rPr>
          <w:rFonts w:ascii="宋体" w:hAnsi="宋体" w:eastAsia="宋体" w:cs="宋体"/>
          <w:kern w:val="0"/>
          <w:szCs w:val="21"/>
        </w:rPr>
        <w:t>复印件，该证明材料真实有效，否则我方负全部责任。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）投标人为非法人（包括其他组织、自然人）的</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□现附上由</w:t>
      </w:r>
      <w:r>
        <w:rPr>
          <w:rFonts w:ascii="宋体" w:hAnsi="宋体" w:eastAsia="宋体" w:cs="宋体"/>
          <w:kern w:val="0"/>
          <w:szCs w:val="21"/>
          <w:u w:val="single"/>
        </w:rPr>
        <w:t>（填写“签发机关全称”）</w:t>
      </w:r>
      <w:r>
        <w:rPr>
          <w:rFonts w:ascii="宋体" w:hAnsi="宋体" w:eastAsia="宋体" w:cs="宋体"/>
          <w:kern w:val="0"/>
          <w:szCs w:val="21"/>
        </w:rPr>
        <w:t>签发的我方</w:t>
      </w:r>
      <w:r>
        <w:rPr>
          <w:rFonts w:ascii="宋体" w:hAnsi="宋体" w:eastAsia="宋体" w:cs="宋体"/>
          <w:kern w:val="0"/>
          <w:szCs w:val="21"/>
          <w:u w:val="single"/>
        </w:rPr>
        <w:t>（请填写非自然人的非法人的具体证照名称）</w:t>
      </w:r>
      <w:r>
        <w:rPr>
          <w:rFonts w:ascii="宋体" w:hAnsi="宋体" w:eastAsia="宋体" w:cs="宋体"/>
          <w:kern w:val="0"/>
          <w:szCs w:val="21"/>
        </w:rPr>
        <w:t>复印件，该证明材料真实有效，否则我方负全部责任。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□现附上由</w:t>
      </w:r>
      <w:r>
        <w:rPr>
          <w:rFonts w:ascii="宋体" w:hAnsi="宋体" w:eastAsia="宋体" w:cs="宋体"/>
          <w:kern w:val="0"/>
          <w:szCs w:val="21"/>
          <w:u w:val="single"/>
        </w:rPr>
        <w:t>（填写“签发机关全称”）</w:t>
      </w:r>
      <w:r>
        <w:rPr>
          <w:rFonts w:ascii="宋体" w:hAnsi="宋体" w:eastAsia="宋体" w:cs="宋体"/>
          <w:kern w:val="0"/>
          <w:szCs w:val="21"/>
        </w:rPr>
        <w:t>签发的我方</w:t>
      </w:r>
      <w:r>
        <w:rPr>
          <w:rFonts w:ascii="宋体" w:hAnsi="宋体" w:eastAsia="宋体" w:cs="宋体"/>
          <w:kern w:val="0"/>
          <w:szCs w:val="21"/>
          <w:u w:val="single"/>
        </w:rPr>
        <w:t>（请填写自然人的身份证件名称）</w:t>
      </w:r>
      <w:r>
        <w:rPr>
          <w:rFonts w:ascii="宋体" w:hAnsi="宋体" w:eastAsia="宋体" w:cs="宋体"/>
          <w:kern w:val="0"/>
          <w:szCs w:val="21"/>
        </w:rPr>
        <w:t>复印件，该证明材料真实有效，否则我方负全部责任。</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1、请投标人按照实际情况编制填写，在相应的（）中打“√”并选择相应的“□”（若有）后，再按照本格式的要求提供相应证明材料的复印件。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3、投标人提供的相应证明材料复印件均应符合：内容完整、清晰、整洁，并由投标人加盖其单位公章。</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kern w:val="0"/>
          <w:szCs w:val="21"/>
        </w:rPr>
        <w:br w:type="textWrapping"/>
      </w:r>
      <w:r>
        <w:rPr>
          <w:rFonts w:ascii="宋体" w:hAnsi="宋体" w:eastAsia="宋体" w:cs="宋体"/>
          <w:b/>
          <w:bCs/>
          <w:kern w:val="0"/>
        </w:rPr>
        <w:t>二-3财务状况报告（财务报告、或资信证明、或投标担保函）</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）投标人提供财务报告的</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□企业适用：现附上我方</w:t>
      </w:r>
      <w:r>
        <w:rPr>
          <w:rFonts w:ascii="宋体" w:hAnsi="宋体" w:eastAsia="宋体" w:cs="宋体"/>
          <w:kern w:val="0"/>
          <w:szCs w:val="21"/>
          <w:u w:val="single"/>
        </w:rPr>
        <w:t>（填写“具体的年度、或半年度、或季度”）</w:t>
      </w:r>
      <w:r>
        <w:rPr>
          <w:rFonts w:ascii="宋体" w:hAnsi="宋体" w:eastAsia="宋体" w:cs="宋体"/>
          <w:kern w:val="0"/>
          <w:szCs w:val="21"/>
        </w:rPr>
        <w:t>财务报告复印件，包括资产负债表、利润表、现金流量表、所有者权益变动表（若有）及其附注（若有），上述证明材料真实有效，否则我方负全部责任。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□事业单位适用：现附上我方</w:t>
      </w:r>
      <w:r>
        <w:rPr>
          <w:rFonts w:ascii="宋体" w:hAnsi="宋体" w:eastAsia="宋体" w:cs="宋体"/>
          <w:kern w:val="0"/>
          <w:szCs w:val="21"/>
          <w:u w:val="single"/>
        </w:rPr>
        <w:t>（填写“具体的年度、或半年度、或季度”）</w:t>
      </w:r>
      <w:r>
        <w:rPr>
          <w:rFonts w:ascii="宋体" w:hAnsi="宋体" w:eastAsia="宋体" w:cs="宋体"/>
          <w:kern w:val="0"/>
          <w:szCs w:val="21"/>
        </w:rPr>
        <w:t>财务报告复印件，包括资产负债表、收入支出表（或收入费用表）、财政补助收入支出表（若有），上述证明材料真实有效，否则我方负全部责任。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□社会团体适用：现附上我方</w:t>
      </w:r>
      <w:r>
        <w:rPr>
          <w:rFonts w:ascii="宋体" w:hAnsi="宋体" w:eastAsia="宋体" w:cs="宋体"/>
          <w:kern w:val="0"/>
          <w:szCs w:val="21"/>
          <w:u w:val="single"/>
        </w:rPr>
        <w:t>（填写“具体的年度、或半年度、或季度”）</w:t>
      </w:r>
      <w:r>
        <w:rPr>
          <w:rFonts w:ascii="宋体" w:hAnsi="宋体" w:eastAsia="宋体" w:cs="宋体"/>
          <w:kern w:val="0"/>
          <w:szCs w:val="21"/>
        </w:rPr>
        <w:t>财务报告复印件，包括资产负债表、业务活动表、现金流量表，上述证明材料真实有效，否则我方负全部责任。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）投标人提供资信证明的</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□自然人适用：现附上我方银行：</w:t>
      </w:r>
      <w:r>
        <w:rPr>
          <w:rFonts w:ascii="宋体" w:hAnsi="宋体" w:eastAsia="宋体" w:cs="宋体"/>
          <w:kern w:val="0"/>
          <w:szCs w:val="21"/>
          <w:u w:val="single"/>
        </w:rPr>
        <w:t>（填写自然人的“个人账户的开户银行全称”）</w:t>
      </w:r>
      <w:r>
        <w:rPr>
          <w:rFonts w:ascii="宋体" w:hAnsi="宋体" w:eastAsia="宋体" w:cs="宋体"/>
          <w:kern w:val="0"/>
          <w:szCs w:val="21"/>
        </w:rPr>
        <w:t>出具的资信证明复印件，上述证明材料真实有效，否则我方负全部责任。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）投标人提供投标担保函的</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现附上由财政部门认可的政府采购专业担保机构：</w:t>
      </w:r>
      <w:r>
        <w:rPr>
          <w:rFonts w:ascii="宋体" w:hAnsi="宋体" w:eastAsia="宋体" w:cs="宋体"/>
          <w:kern w:val="0"/>
          <w:szCs w:val="21"/>
          <w:u w:val="single"/>
        </w:rPr>
        <w:t>（填写“担保机构全称”）</w:t>
      </w:r>
      <w:r>
        <w:rPr>
          <w:rFonts w:ascii="宋体" w:hAnsi="宋体" w:eastAsia="宋体" w:cs="宋体"/>
          <w:kern w:val="0"/>
          <w:szCs w:val="21"/>
        </w:rPr>
        <w:t>出具的投标担保函复印件，上述证明材料真实有效，否则我方负全部责任。</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1、请投标人按照实际情况编制填写，在相应的（）中打“√”并选择相应的“□”（若有）后，再按照本格式的要求提供相应证明材料的复印件。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2、投标人提供的财务报告复印件（成立年限按照投标截止时间推算）应符合下列规定：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2.1成立年限满</w:t>
      </w:r>
      <w:r>
        <w:rPr>
          <w:rFonts w:ascii="Calibri" w:hAnsi="Calibri" w:eastAsia="宋体" w:cs="宋体"/>
          <w:kern w:val="0"/>
          <w:szCs w:val="21"/>
        </w:rPr>
        <w:t>1</w:t>
      </w:r>
      <w:r>
        <w:rPr>
          <w:rFonts w:ascii="宋体" w:hAnsi="宋体" w:eastAsia="宋体" w:cs="宋体"/>
          <w:kern w:val="0"/>
          <w:szCs w:val="21"/>
        </w:rPr>
        <w:t>年及以上的投标人，提供经审计的上一年度的年度财务报告。</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2.2成立年限满半年但不足</w:t>
      </w:r>
      <w:r>
        <w:rPr>
          <w:rFonts w:ascii="Calibri" w:hAnsi="Calibri" w:eastAsia="宋体" w:cs="宋体"/>
          <w:kern w:val="0"/>
          <w:szCs w:val="21"/>
        </w:rPr>
        <w:t>1</w:t>
      </w:r>
      <w:r>
        <w:rPr>
          <w:rFonts w:ascii="宋体" w:hAnsi="宋体" w:eastAsia="宋体" w:cs="宋体"/>
          <w:kern w:val="0"/>
          <w:szCs w:val="21"/>
        </w:rPr>
        <w:t>年的投标人，提供该半年度中任一季度的季度财务报告或该半年度的半年度财务报告。</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3、“财政部门认可的政府采购专业担保机构”应符合《财政部关于开展政府采购信用担保试点工作方案》（财库</w:t>
      </w:r>
      <w:r>
        <w:rPr>
          <w:rFonts w:ascii="Calibri" w:hAnsi="Calibri" w:eastAsia="宋体" w:cs="宋体"/>
          <w:kern w:val="0"/>
          <w:szCs w:val="21"/>
        </w:rPr>
        <w:t>[2012]124</w:t>
      </w:r>
      <w:r>
        <w:rPr>
          <w:rFonts w:ascii="宋体" w:hAnsi="宋体" w:eastAsia="宋体" w:cs="宋体"/>
          <w:kern w:val="0"/>
          <w:szCs w:val="21"/>
        </w:rPr>
        <w:t>号）的规定。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4、投标人提供的相应证明材料复印件均应符合：内容完整、清晰、整洁，并由投标人加盖其单位公章。</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kern w:val="0"/>
          <w:szCs w:val="21"/>
        </w:rPr>
        <w:br w:type="textWrapping"/>
      </w:r>
      <w:r>
        <w:rPr>
          <w:rFonts w:ascii="宋体" w:hAnsi="宋体" w:eastAsia="宋体" w:cs="宋体"/>
          <w:kern w:val="0"/>
          <w:szCs w:val="21"/>
        </w:rPr>
        <w:t>二</w:t>
      </w:r>
      <w:r>
        <w:rPr>
          <w:rFonts w:ascii="宋体" w:hAnsi="宋体" w:eastAsia="宋体" w:cs="宋体"/>
          <w:b/>
          <w:bCs/>
          <w:kern w:val="0"/>
        </w:rPr>
        <w:t>-4依法缴纳税收证明材料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1、依法缴纳税收的投标人</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）法人（包括企业、事业单位和社会团体）的</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现附上自</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日至</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日期间我方缴纳的</w:t>
      </w:r>
      <w:r>
        <w:rPr>
          <w:rFonts w:ascii="宋体" w:hAnsi="宋体" w:eastAsia="宋体" w:cs="宋体"/>
          <w:kern w:val="0"/>
          <w:szCs w:val="21"/>
          <w:u w:val="single"/>
        </w:rPr>
        <w:t>（按照投标人实际缴纳的税种名称填写，如：增值税、所得税等）</w:t>
      </w:r>
      <w:r>
        <w:rPr>
          <w:rFonts w:ascii="宋体" w:hAnsi="宋体" w:eastAsia="宋体" w:cs="宋体"/>
          <w:kern w:val="0"/>
          <w:szCs w:val="21"/>
        </w:rPr>
        <w:t>税收凭据复印件，上述证明材料真实有效，否则我方负全部责任。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）非法人（包括其他组织、自然人）的</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现附上自</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日至</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日期间我方缴纳的</w:t>
      </w:r>
      <w:r>
        <w:rPr>
          <w:rFonts w:ascii="宋体" w:hAnsi="宋体" w:eastAsia="宋体" w:cs="宋体"/>
          <w:kern w:val="0"/>
          <w:szCs w:val="21"/>
          <w:u w:val="single"/>
        </w:rPr>
        <w:t>（按照投标人实际缴纳的税种名称填写）</w:t>
      </w:r>
      <w:r>
        <w:rPr>
          <w:rFonts w:ascii="宋体" w:hAnsi="宋体" w:eastAsia="宋体" w:cs="宋体"/>
          <w:kern w:val="0"/>
          <w:szCs w:val="21"/>
        </w:rPr>
        <w:t>税收凭据复印件，上述证明材料真实有效，否则我方负全部责任。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2、依法免税的投标人</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）现附上我方依法免税证明材料复印件，上述证明材料真实有效，否则我方负全部责任。</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1、请投标人按照实际情况编制填写，在相应的（）中打“√”，并按照本格式的要求提供相应证明材料的复印件。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2、投标人提供的税收凭据复印件应符合下列规定：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2.1投标截止时间前（不含投标截止时间的当月）已依法缴纳税收的投标人，提供投标截止时间前六个月（不含投标截止时间的当月）中任一月份的税收凭据复印件。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2.2投标截止时间的当月成立且已依法缴纳税收的投标人，提供投标截止时间当月的税收凭据复印件。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2.3投标截止时间的当月成立但因税务机关原因导致其尚未依法缴纳税收的投标人，提供依法缴纳税收承诺书原件（格式自拟），该承诺书视同税收凭据。</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w:t>
      </w:r>
      <w:r>
        <w:rPr>
          <w:rFonts w:ascii="宋体" w:hAnsi="宋体" w:eastAsia="宋体" w:cs="宋体"/>
          <w:b/>
          <w:bCs/>
          <w:kern w:val="0"/>
        </w:rPr>
        <w:t>“依法缴纳税收证明材料”</w:t>
      </w:r>
      <w:r>
        <w:rPr>
          <w:rFonts w:ascii="宋体" w:hAnsi="宋体" w:eastAsia="宋体" w:cs="宋体"/>
          <w:kern w:val="0"/>
          <w:szCs w:val="21"/>
        </w:rPr>
        <w:t>有欠缴记录的，视为</w:t>
      </w:r>
      <w:r>
        <w:rPr>
          <w:rFonts w:ascii="宋体" w:hAnsi="宋体" w:eastAsia="宋体" w:cs="宋体"/>
          <w:b/>
          <w:bCs/>
          <w:kern w:val="0"/>
        </w:rPr>
        <w:t>未依法缴纳税收。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4、投标人提供的相应证明材料复印件均应符合：内容完整、清晰、整洁，并由投标人加盖其单位公章。</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kern w:val="0"/>
          <w:szCs w:val="21"/>
        </w:rPr>
        <w:br w:type="textWrapping"/>
      </w:r>
      <w:r>
        <w:rPr>
          <w:rFonts w:ascii="宋体" w:hAnsi="宋体" w:eastAsia="宋体" w:cs="宋体"/>
          <w:b/>
          <w:bCs/>
          <w:kern w:val="0"/>
        </w:rPr>
        <w:t>二-5依法缴纳社会保障资金证明材料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ind w:firstLine="420"/>
        <w:jc w:val="left"/>
        <w:outlineLvl w:val="0"/>
        <w:rPr>
          <w:rFonts w:ascii="宋体" w:hAnsi="宋体" w:eastAsia="宋体" w:cs="宋体"/>
          <w:kern w:val="0"/>
          <w:sz w:val="24"/>
          <w:szCs w:val="24"/>
        </w:rPr>
      </w:pPr>
      <w:bookmarkStart w:id="18" w:name="_Toc27167"/>
      <w:r>
        <w:rPr>
          <w:rFonts w:ascii="宋体" w:hAnsi="宋体" w:eastAsia="宋体" w:cs="宋体"/>
          <w:kern w:val="0"/>
          <w:szCs w:val="21"/>
        </w:rPr>
        <w:t>1、依法缴纳社会保障资金的投标人</w:t>
      </w:r>
      <w:bookmarkEnd w:id="18"/>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）法人（包括企业、事业单位和社会团体）的</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现附上自</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日至</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日我方缴纳的社会保险凭据（限：税务机关/社会保障资金管理机关的专用收据或社会保险缴纳清单，或社会保险的银行缴款收讫凭证）复印件，上述证明材料真实有效，否则我方负全部责任。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）非法人（包括其他组织、自然人）的</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自</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日至</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日我方缴纳的社会保险凭据（限：税务机关/社会保障资金管理机关的专用收据或社会保险缴纳清单，或社会保险的银行缴款收讫凭证）复印件，上述证明材料真实有效，否则我方负全部责任。</w:t>
      </w:r>
    </w:p>
    <w:p>
      <w:pPr>
        <w:widowControl/>
        <w:spacing w:before="100" w:beforeAutospacing="1" w:after="100" w:afterAutospacing="1"/>
        <w:ind w:firstLine="420"/>
        <w:jc w:val="left"/>
        <w:outlineLvl w:val="0"/>
        <w:rPr>
          <w:rFonts w:ascii="宋体" w:hAnsi="宋体" w:eastAsia="宋体" w:cs="宋体"/>
          <w:kern w:val="0"/>
          <w:sz w:val="24"/>
          <w:szCs w:val="24"/>
        </w:rPr>
      </w:pPr>
      <w:bookmarkStart w:id="19" w:name="_Toc7372"/>
      <w:r>
        <w:rPr>
          <w:rFonts w:ascii="宋体" w:hAnsi="宋体" w:eastAsia="宋体" w:cs="宋体"/>
          <w:kern w:val="0"/>
          <w:szCs w:val="21"/>
        </w:rPr>
        <w:t>2、依法不需要缴纳社会保障资金的投标人</w:t>
      </w:r>
      <w:bookmarkEnd w:id="19"/>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）现附上我方依法不需要缴纳社会保障资金证明材料复印件，上述证明材料真实有效，否则我方负全部责任。</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1、请投标人按照实际情况编制填写，在相应的（）中打“√”，并按照本格式的要求提供相应证明材料的复印件。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2、投标人提供的社会保险凭据复印件应符合下列规定：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2.1投标截止时间前（不含投标截止时间的当月）已依法缴纳社会保障资金的投标人，提供投标截止时间前六个月（不含投标截止时间的当月）中任一月份的社会保险凭据复印件。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2.2投标截止时间的当月成立且已依法缴纳社会保障资金的投标人，提供投标截止时间当月的社会保险凭据复印件。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2.3投标截止时间的当月成立但因税务机关</w:t>
      </w:r>
      <w:r>
        <w:rPr>
          <w:rFonts w:ascii="Calibri" w:hAnsi="Calibri" w:eastAsia="宋体" w:cs="宋体"/>
          <w:kern w:val="0"/>
          <w:szCs w:val="21"/>
        </w:rPr>
        <w:t>/</w:t>
      </w:r>
      <w:r>
        <w:rPr>
          <w:rFonts w:ascii="宋体" w:hAnsi="宋体" w:eastAsia="宋体" w:cs="宋体"/>
          <w:kern w:val="0"/>
          <w:szCs w:val="21"/>
        </w:rPr>
        <w:t>社会保障资金管理机关原因导致其尚未依法缴纳社会保障资金的投标人，提供依法缴纳社会保障资金承诺书原件（格式自拟），该承诺书视同社会保险凭据。</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w:t>
      </w:r>
      <w:r>
        <w:rPr>
          <w:rFonts w:ascii="宋体" w:hAnsi="宋体" w:eastAsia="宋体" w:cs="宋体"/>
          <w:b/>
          <w:bCs/>
          <w:kern w:val="0"/>
        </w:rPr>
        <w:t>“依法缴纳社会保障资金证明材料”</w:t>
      </w:r>
      <w:r>
        <w:rPr>
          <w:rFonts w:ascii="宋体" w:hAnsi="宋体" w:eastAsia="宋体" w:cs="宋体"/>
          <w:kern w:val="0"/>
          <w:szCs w:val="21"/>
        </w:rPr>
        <w:t>有欠缴记录的，视为</w:t>
      </w:r>
      <w:r>
        <w:rPr>
          <w:rFonts w:ascii="宋体" w:hAnsi="宋体" w:eastAsia="宋体" w:cs="宋体"/>
          <w:b/>
          <w:bCs/>
          <w:kern w:val="0"/>
        </w:rPr>
        <w:t>未依法缴纳社会保障资金。</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4、投标人提供的相应证明材料复印件均应符合：内容完整、清晰、整洁，并由投标人加盖其单位公章。</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kern w:val="0"/>
          <w:szCs w:val="21"/>
        </w:rPr>
        <w:br w:type="textWrapping"/>
      </w:r>
      <w:r>
        <w:rPr>
          <w:rFonts w:ascii="宋体" w:hAnsi="宋体" w:eastAsia="宋体" w:cs="宋体"/>
          <w:kern w:val="0"/>
          <w:szCs w:val="21"/>
        </w:rPr>
        <w:t>二</w:t>
      </w:r>
      <w:r>
        <w:rPr>
          <w:rFonts w:ascii="宋体" w:hAnsi="宋体" w:eastAsia="宋体" w:cs="宋体"/>
          <w:b/>
          <w:bCs/>
          <w:kern w:val="0"/>
        </w:rPr>
        <w:t>-6具备履行合同所必需设备和专业技术能力的声明函（若有）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我方具备履行合同所必需的设备和专业技术能力，否则产生不利后果由我方承担责任。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特此声明。</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1、招标文件未要求投标人提供“具备履行合同所必需的设备和专业技术能力专项证明材料”的，投标人应提供本声明函。</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2、招标文件要求投标人提供“具备履行合同所必需的设备和专业技术能力专项证明材料”的，投标人可不提供本声明函。</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3、纸质投标文件正本中的本声明函（若有）应为原件。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4、请投标人根据实际情况如实声明，否则</w:t>
      </w:r>
      <w:r>
        <w:rPr>
          <w:rFonts w:ascii="宋体" w:hAnsi="宋体" w:eastAsia="宋体" w:cs="宋体"/>
          <w:b/>
          <w:bCs/>
          <w:kern w:val="0"/>
        </w:rPr>
        <w:t>视为提供虚假材料。</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kern w:val="0"/>
          <w:szCs w:val="21"/>
        </w:rPr>
        <w:br w:type="textWrapping"/>
      </w:r>
      <w:r>
        <w:rPr>
          <w:rFonts w:ascii="宋体" w:hAnsi="宋体" w:eastAsia="宋体" w:cs="宋体"/>
          <w:kern w:val="0"/>
          <w:szCs w:val="21"/>
        </w:rPr>
        <w:t>二</w:t>
      </w:r>
      <w:r>
        <w:rPr>
          <w:rFonts w:ascii="宋体" w:hAnsi="宋体" w:eastAsia="宋体" w:cs="宋体"/>
          <w:b/>
          <w:bCs/>
          <w:kern w:val="0"/>
        </w:rPr>
        <w:t>-7参加采购活动前三年内在经营活动中没有重大违法记录书面声明</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参加采购活动前三年内，我方在经营活动中没有重大违法记录，也无行贿犯罪记录，否则产生不利后果由我方承担责任。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特此声明。</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1、“重大违法记录”指投标人因违法经营受到刑事处罚或责令停产停业、吊销许可证或执照、较大数额罚款等行政处罚。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2、纸质投标文件正本中的本声明应为原件。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3、请投标人根据实际情况如实声明，否则</w:t>
      </w:r>
      <w:r>
        <w:rPr>
          <w:rFonts w:ascii="宋体" w:hAnsi="宋体" w:eastAsia="宋体" w:cs="宋体"/>
          <w:b/>
          <w:bCs/>
          <w:kern w:val="0"/>
        </w:rPr>
        <w:t>视为提供虚假材料。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kern w:val="0"/>
          <w:szCs w:val="21"/>
        </w:rPr>
        <w:br w:type="textWrapping"/>
      </w:r>
      <w:r>
        <w:rPr>
          <w:rFonts w:ascii="宋体" w:hAnsi="宋体" w:eastAsia="宋体" w:cs="宋体"/>
          <w:kern w:val="0"/>
          <w:szCs w:val="21"/>
        </w:rPr>
        <w:t>二</w:t>
      </w:r>
      <w:r>
        <w:rPr>
          <w:rFonts w:ascii="宋体" w:hAnsi="宋体" w:eastAsia="宋体" w:cs="宋体"/>
          <w:b/>
          <w:bCs/>
          <w:kern w:val="0"/>
        </w:rPr>
        <w:t>-8信用记录查询结果</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现附上截至</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r>
        <w:rPr>
          <w:rFonts w:ascii="宋体" w:hAnsi="宋体" w:eastAsia="宋体" w:cs="宋体"/>
          <w:kern w:val="0"/>
          <w:szCs w:val="21"/>
          <w:u w:val="single"/>
        </w:rPr>
        <w:t>   </w:t>
      </w:r>
      <w:r>
        <w:rPr>
          <w:rFonts w:ascii="宋体" w:hAnsi="宋体" w:eastAsia="宋体" w:cs="宋体"/>
          <w:kern w:val="0"/>
          <w:szCs w:val="21"/>
        </w:rPr>
        <w:t>时我方通过“信用中国”网站（</w:t>
      </w:r>
      <w:r>
        <w:rPr>
          <w:rFonts w:ascii="Calibri" w:hAnsi="Calibri" w:eastAsia="宋体" w:cs="宋体"/>
          <w:kern w:val="0"/>
          <w:szCs w:val="21"/>
        </w:rPr>
        <w:t>www.creditchina.gov.cn</w:t>
      </w:r>
      <w:r>
        <w:rPr>
          <w:rFonts w:ascii="宋体" w:hAnsi="宋体" w:eastAsia="宋体" w:cs="宋体"/>
          <w:kern w:val="0"/>
          <w:szCs w:val="21"/>
        </w:rPr>
        <w:t>）获取的我方信用信息查询结果</w:t>
      </w:r>
      <w:r>
        <w:rPr>
          <w:rFonts w:ascii="宋体" w:hAnsi="宋体" w:eastAsia="宋体" w:cs="宋体"/>
          <w:kern w:val="0"/>
          <w:szCs w:val="21"/>
          <w:u w:val="single"/>
        </w:rPr>
        <w:t>（填写具体份数）</w:t>
      </w:r>
      <w:r>
        <w:rPr>
          <w:rFonts w:ascii="宋体" w:hAnsi="宋体" w:eastAsia="宋体" w:cs="宋体"/>
          <w:kern w:val="0"/>
          <w:szCs w:val="21"/>
        </w:rPr>
        <w:t>份、通过中国政府采购网（www.ccgp.gov.cn）获取的我方信用信息查询结果</w:t>
      </w:r>
      <w:r>
        <w:rPr>
          <w:rFonts w:ascii="宋体" w:hAnsi="宋体" w:eastAsia="宋体" w:cs="宋体"/>
          <w:kern w:val="0"/>
          <w:szCs w:val="21"/>
          <w:u w:val="single"/>
        </w:rPr>
        <w:t>（填写具体份数）</w:t>
      </w:r>
      <w:r>
        <w:rPr>
          <w:rFonts w:ascii="宋体" w:hAnsi="宋体" w:eastAsia="宋体" w:cs="宋体"/>
          <w:kern w:val="0"/>
          <w:szCs w:val="21"/>
        </w:rPr>
        <w:t>份，上述信用信息查询结果真实有效，否则我方负全部责任。</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投标人应在招标文件要求的截止时点前分别通过“信用中国”网站（</w:t>
      </w:r>
      <w:r>
        <w:rPr>
          <w:rFonts w:ascii="Calibri" w:hAnsi="Calibri" w:eastAsia="宋体" w:cs="宋体"/>
          <w:kern w:val="0"/>
          <w:szCs w:val="21"/>
        </w:rPr>
        <w:t>www.creditchina.gov.cn</w:t>
      </w:r>
      <w:r>
        <w:rPr>
          <w:rFonts w:ascii="宋体" w:hAnsi="宋体" w:eastAsia="宋体" w:cs="宋体"/>
          <w:kern w:val="0"/>
          <w:szCs w:val="21"/>
        </w:rPr>
        <w:t>）、中国政府采购网（</w:t>
      </w:r>
      <w:r>
        <w:rPr>
          <w:rFonts w:ascii="Calibri" w:hAnsi="Calibri" w:eastAsia="宋体" w:cs="宋体"/>
          <w:kern w:val="0"/>
          <w:szCs w:val="21"/>
        </w:rPr>
        <w:t>www.ccgp.gov.cn</w:t>
      </w:r>
      <w:r>
        <w:rPr>
          <w:rFonts w:ascii="宋体" w:hAnsi="宋体" w:eastAsia="宋体" w:cs="宋体"/>
          <w:kern w:val="0"/>
          <w:szCs w:val="21"/>
        </w:rPr>
        <w:t>）查询并打印相应的信用记录，投标人提供的查询结果应为其通过上述网站获取的信用信息查询结果原始页面的打印件（或截图）。</w:t>
      </w:r>
    </w:p>
    <w:p>
      <w:pPr>
        <w:widowControl/>
        <w:spacing w:before="100" w:beforeAutospacing="1" w:after="100" w:afterAutospacing="1"/>
        <w:jc w:val="left"/>
        <w:rPr>
          <w:rFonts w:ascii="宋体" w:hAnsi="宋体" w:eastAsia="宋体" w:cs="宋体"/>
          <w:kern w:val="0"/>
          <w:sz w:val="24"/>
          <w:szCs w:val="24"/>
        </w:rPr>
      </w:pP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b/>
          <w:bCs/>
          <w:kern w:val="0"/>
          <w:szCs w:val="21"/>
        </w:rPr>
        <w:br w:type="textWrapping"/>
      </w:r>
      <w:r>
        <w:rPr>
          <w:rFonts w:ascii="宋体" w:hAnsi="宋体" w:eastAsia="宋体" w:cs="宋体"/>
          <w:b/>
          <w:bCs/>
          <w:kern w:val="0"/>
        </w:rPr>
        <w:t>二-9检察机关行贿犯罪档案查询结果告知函</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检察机关行贿犯罪档案查询结果告知函（以下简称：“告知函”）由投标人向住所地或业务发生地检察院申请查询，具体以检察院出具的为准。</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1、未提供行贿犯罪档案查询结果或查询结果表明投标人有行贿犯罪记录的，</w:t>
      </w:r>
      <w:r>
        <w:rPr>
          <w:rFonts w:ascii="宋体" w:hAnsi="宋体" w:eastAsia="宋体" w:cs="宋体"/>
          <w:b/>
          <w:bCs/>
          <w:kern w:val="0"/>
        </w:rPr>
        <w:t>投标无效。</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2、若从检察机关指定网站下载打印或截图告知函，则告知函应为从前述指定网站获取的查询结果原始页面的打印件（或截图），否则</w:t>
      </w:r>
      <w:r>
        <w:rPr>
          <w:rFonts w:ascii="宋体" w:hAnsi="宋体" w:eastAsia="宋体" w:cs="宋体"/>
          <w:b/>
          <w:bCs/>
          <w:kern w:val="0"/>
        </w:rPr>
        <w:t>投标无效。</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3、告知函应在有效期内且内容完整、清晰、整洁，否则</w:t>
      </w:r>
      <w:r>
        <w:rPr>
          <w:rFonts w:ascii="宋体" w:hAnsi="宋体" w:eastAsia="宋体" w:cs="宋体"/>
          <w:b/>
          <w:bCs/>
          <w:kern w:val="0"/>
        </w:rPr>
        <w:t>投标无效。</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4、有效期内的告知函复印件（含扫描件）及符合招标文件第七章规定的打印件（或截图），无论内容中是否注明“复印件无效”，</w:t>
      </w:r>
      <w:r>
        <w:rPr>
          <w:rFonts w:ascii="宋体" w:hAnsi="宋体" w:eastAsia="宋体" w:cs="宋体"/>
          <w:b/>
          <w:bCs/>
          <w:kern w:val="0"/>
        </w:rPr>
        <w:t>均视同有效。</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5、无法获取有效期内检察机关行贿犯罪档案查询结果告知函的，应在《参加采购活动前三年内在经营活动中没有重大违法记录书面声明》中对近三年无行贿犯罪记录进行声明。</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br w:type="textWrapping"/>
      </w:r>
      <w:r>
        <w:rPr>
          <w:rFonts w:ascii="宋体" w:hAnsi="宋体" w:eastAsia="宋体" w:cs="宋体"/>
          <w:b/>
          <w:bCs/>
          <w:kern w:val="0"/>
        </w:rPr>
        <w:t>二-10联合体协议（若有）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兹有</w:t>
      </w:r>
      <w:r>
        <w:rPr>
          <w:rFonts w:ascii="宋体" w:hAnsi="宋体" w:eastAsia="宋体" w:cs="宋体"/>
          <w:kern w:val="0"/>
          <w:szCs w:val="21"/>
          <w:u w:val="single"/>
        </w:rPr>
        <w:t>（填写“联合体中各方的全称”，各方的全称之间请用“、”分割）</w:t>
      </w:r>
      <w:r>
        <w:rPr>
          <w:rFonts w:ascii="宋体" w:hAnsi="宋体" w:eastAsia="宋体" w:cs="宋体"/>
          <w:kern w:val="0"/>
          <w:szCs w:val="21"/>
        </w:rPr>
        <w:t>自愿组成联合体，共同参加</w:t>
      </w:r>
      <w:r>
        <w:rPr>
          <w:rFonts w:ascii="宋体" w:hAnsi="宋体" w:eastAsia="宋体" w:cs="宋体"/>
          <w:kern w:val="0"/>
          <w:szCs w:val="21"/>
          <w:u w:val="single"/>
        </w:rPr>
        <w:t xml:space="preserve">（填写“项目名称”） </w:t>
      </w:r>
      <w:r>
        <w:rPr>
          <w:rFonts w:ascii="宋体" w:hAnsi="宋体" w:eastAsia="宋体" w:cs="宋体"/>
          <w:kern w:val="0"/>
          <w:szCs w:val="21"/>
        </w:rPr>
        <w:t>项目（招标编号：</w:t>
      </w:r>
      <w:r>
        <w:rPr>
          <w:rFonts w:ascii="宋体" w:hAnsi="宋体" w:eastAsia="宋体" w:cs="宋体"/>
          <w:kern w:val="0"/>
          <w:szCs w:val="21"/>
          <w:u w:val="single"/>
        </w:rPr>
        <w:t>         </w:t>
      </w:r>
      <w:r>
        <w:rPr>
          <w:rFonts w:ascii="宋体" w:hAnsi="宋体" w:eastAsia="宋体" w:cs="宋体"/>
          <w:kern w:val="0"/>
          <w:szCs w:val="21"/>
        </w:rPr>
        <w:t>）的投标。现就联合体参加本项目投标的有关事宜达成下列协议：</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一、联合体各方应承担的工作和义务具体如下：</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1、牵头方（</w:t>
      </w:r>
      <w:r>
        <w:rPr>
          <w:rFonts w:ascii="宋体" w:hAnsi="宋体" w:eastAsia="宋体" w:cs="宋体"/>
          <w:kern w:val="0"/>
          <w:szCs w:val="21"/>
          <w:u w:val="single"/>
        </w:rPr>
        <w:t>全称</w:t>
      </w:r>
      <w:r>
        <w:rPr>
          <w:rFonts w:ascii="宋体" w:hAnsi="宋体" w:eastAsia="宋体" w:cs="宋体"/>
          <w:kern w:val="0"/>
          <w:szCs w:val="21"/>
        </w:rPr>
        <w:t>）：</w:t>
      </w:r>
      <w:r>
        <w:rPr>
          <w:rFonts w:ascii="宋体" w:hAnsi="宋体" w:eastAsia="宋体" w:cs="宋体"/>
          <w:kern w:val="0"/>
          <w:szCs w:val="21"/>
          <w:u w:val="single"/>
        </w:rPr>
        <w:t xml:space="preserve"> （填写“工作及义务的具体内容”） </w:t>
      </w:r>
      <w:r>
        <w:rPr>
          <w:rFonts w:ascii="宋体" w:hAnsi="宋体" w:eastAsia="宋体" w:cs="宋体"/>
          <w:kern w:val="0"/>
          <w:szCs w:val="21"/>
        </w:rPr>
        <w:t>；</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2、成员方：</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2.1</w:t>
      </w:r>
      <w:r>
        <w:rPr>
          <w:rFonts w:ascii="宋体" w:hAnsi="宋体" w:eastAsia="宋体" w:cs="宋体"/>
          <w:kern w:val="0"/>
          <w:szCs w:val="21"/>
          <w:u w:val="single"/>
        </w:rPr>
        <w:t>（成员一的全称）</w:t>
      </w:r>
      <w:r>
        <w:rPr>
          <w:rFonts w:ascii="宋体" w:hAnsi="宋体" w:eastAsia="宋体" w:cs="宋体"/>
          <w:kern w:val="0"/>
          <w:szCs w:val="21"/>
        </w:rPr>
        <w:t>：</w:t>
      </w:r>
      <w:r>
        <w:rPr>
          <w:rFonts w:ascii="宋体" w:hAnsi="宋体" w:eastAsia="宋体" w:cs="宋体"/>
          <w:kern w:val="0"/>
          <w:szCs w:val="21"/>
          <w:u w:val="single"/>
        </w:rPr>
        <w:t xml:space="preserve"> （填写“工作及义务的具体内容”） </w:t>
      </w:r>
      <w:r>
        <w:rPr>
          <w:rFonts w:ascii="宋体" w:hAnsi="宋体" w:eastAsia="宋体" w:cs="宋体"/>
          <w:kern w:val="0"/>
          <w:szCs w:val="21"/>
        </w:rPr>
        <w:t>；</w:t>
      </w:r>
    </w:p>
    <w:p>
      <w:pPr>
        <w:widowControl/>
        <w:spacing w:before="100" w:beforeAutospacing="1" w:after="100" w:afterAutospacing="1"/>
        <w:ind w:firstLine="420"/>
        <w:jc w:val="left"/>
        <w:rPr>
          <w:rFonts w:ascii="宋体" w:hAnsi="宋体" w:eastAsia="宋体" w:cs="宋体"/>
          <w:kern w:val="0"/>
          <w:sz w:val="24"/>
          <w:szCs w:val="24"/>
        </w:rPr>
      </w:pPr>
      <w:r>
        <w:rPr>
          <w:rFonts w:ascii="Calibri" w:hAnsi="Calibri" w:eastAsia="宋体" w:cs="宋体"/>
          <w:kern w:val="0"/>
          <w:szCs w:val="21"/>
        </w:rPr>
        <w:t>……</w:t>
      </w:r>
      <w:r>
        <w:rPr>
          <w:rFonts w:ascii="宋体" w:hAnsi="宋体" w:eastAsia="宋体" w:cs="宋体"/>
          <w:kern w:val="0"/>
          <w:szCs w:val="21"/>
        </w:rPr>
        <w:t>。</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二、联合体各方约定：</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1、由</w:t>
      </w:r>
      <w:r>
        <w:rPr>
          <w:rFonts w:ascii="宋体" w:hAnsi="宋体" w:eastAsia="宋体" w:cs="宋体"/>
          <w:kern w:val="0"/>
          <w:szCs w:val="21"/>
          <w:u w:val="single"/>
        </w:rPr>
        <w:t>（填写“牵头方的全称”）</w:t>
      </w:r>
      <w:r>
        <w:rPr>
          <w:rFonts w:ascii="宋体" w:hAnsi="宋体" w:eastAsia="宋体" w:cs="宋体"/>
          <w:kern w:val="0"/>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2、联合体各方约定由</w:t>
      </w:r>
      <w:r>
        <w:rPr>
          <w:rFonts w:ascii="宋体" w:hAnsi="宋体" w:eastAsia="宋体" w:cs="宋体"/>
          <w:kern w:val="0"/>
          <w:szCs w:val="21"/>
          <w:u w:val="single"/>
        </w:rPr>
        <w:t>（填写“牵头方的全称”）</w:t>
      </w:r>
      <w:r>
        <w:rPr>
          <w:rFonts w:ascii="宋体" w:hAnsi="宋体" w:eastAsia="宋体" w:cs="宋体"/>
          <w:kern w:val="0"/>
          <w:szCs w:val="21"/>
        </w:rPr>
        <w:t>代表联合体办理投标保证金事宜。</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widowControl/>
        <w:spacing w:before="100" w:beforeAutospacing="1" w:after="100" w:afterAutospacing="1"/>
        <w:ind w:firstLine="420"/>
        <w:jc w:val="left"/>
        <w:rPr>
          <w:rFonts w:ascii="宋体" w:hAnsi="宋体" w:eastAsia="宋体" w:cs="宋体"/>
          <w:kern w:val="0"/>
          <w:sz w:val="24"/>
          <w:szCs w:val="24"/>
        </w:rPr>
      </w:pP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三、若中标，牵头方将代表联合体与采购人就合同签订事宜进行协商；若协商一致，则联合体各方将共同与采购人签订政府采购合同，并就政府采购合同约定的事项对采购人承担连带责任。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四、本协议自签署之日起生效，政府采购合同履行完毕后自动失效。</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五、本协议一式</w:t>
      </w:r>
      <w:r>
        <w:rPr>
          <w:rFonts w:ascii="宋体" w:hAnsi="宋体" w:eastAsia="宋体" w:cs="宋体"/>
          <w:kern w:val="0"/>
          <w:szCs w:val="21"/>
          <w:u w:val="single"/>
        </w:rPr>
        <w:t>（填写具体份数）</w:t>
      </w:r>
      <w:r>
        <w:rPr>
          <w:rFonts w:ascii="宋体" w:hAnsi="宋体" w:eastAsia="宋体" w:cs="宋体"/>
          <w:kern w:val="0"/>
          <w:szCs w:val="21"/>
        </w:rPr>
        <w:t>份，联合体各方各执一份，投标文件中提交一份。</w:t>
      </w:r>
    </w:p>
    <w:p>
      <w:pPr>
        <w:widowControl/>
        <w:spacing w:before="100" w:beforeAutospacing="1" w:after="100" w:afterAutospacing="1"/>
        <w:jc w:val="center"/>
        <w:outlineLvl w:val="0"/>
        <w:rPr>
          <w:rFonts w:ascii="宋体" w:hAnsi="宋体" w:eastAsia="宋体" w:cs="宋体"/>
          <w:kern w:val="0"/>
          <w:sz w:val="24"/>
          <w:szCs w:val="24"/>
        </w:rPr>
      </w:pPr>
      <w:bookmarkStart w:id="20" w:name="_Toc9502"/>
      <w:bookmarkStart w:id="21" w:name="_Toc12380"/>
      <w:r>
        <w:rPr>
          <w:rFonts w:ascii="宋体" w:hAnsi="宋体" w:eastAsia="宋体" w:cs="宋体"/>
          <w:kern w:val="0"/>
          <w:szCs w:val="21"/>
        </w:rPr>
        <w:t>（以下无正文）</w:t>
      </w:r>
      <w:bookmarkEnd w:id="20"/>
      <w:bookmarkEnd w:id="21"/>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牵头方：</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法定代表人或其委托代理人：</w:t>
      </w:r>
      <w:r>
        <w:rPr>
          <w:rFonts w:ascii="宋体" w:hAnsi="宋体" w:eastAsia="宋体" w:cs="宋体"/>
          <w:kern w:val="0"/>
          <w:szCs w:val="21"/>
          <w:u w:val="single"/>
        </w:rPr>
        <w:t>  （签字或盖章）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成员一：</w:t>
      </w:r>
      <w:r>
        <w:rPr>
          <w:rFonts w:ascii="宋体" w:hAnsi="宋体" w:eastAsia="宋体" w:cs="宋体"/>
          <w:kern w:val="0"/>
          <w:szCs w:val="21"/>
          <w:u w:val="single"/>
        </w:rPr>
        <w:t>（全称并加盖成员一的单位公章）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法定代表人或其委托代理人：</w:t>
      </w:r>
      <w:r>
        <w:rPr>
          <w:rFonts w:ascii="宋体" w:hAnsi="宋体" w:eastAsia="宋体" w:cs="宋体"/>
          <w:kern w:val="0"/>
          <w:szCs w:val="21"/>
          <w:u w:val="single"/>
        </w:rPr>
        <w:t>  （签字或盖章）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成员**：</w:t>
      </w:r>
      <w:r>
        <w:rPr>
          <w:rFonts w:ascii="宋体" w:hAnsi="宋体" w:eastAsia="宋体" w:cs="宋体"/>
          <w:kern w:val="0"/>
          <w:szCs w:val="21"/>
          <w:u w:val="single"/>
        </w:rPr>
        <w:t>（全称并加盖成员**的单位公章）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法定代表人或其委托代理人：</w:t>
      </w:r>
      <w:r>
        <w:rPr>
          <w:rFonts w:ascii="宋体" w:hAnsi="宋体" w:eastAsia="宋体" w:cs="宋体"/>
          <w:kern w:val="0"/>
          <w:szCs w:val="21"/>
          <w:u w:val="single"/>
        </w:rPr>
        <w:t>  （签字或盖章）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Cs w:val="21"/>
        </w:rPr>
        <w:t>签署日期：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1、招标文件接受联合体投标且投标人为联合体的，投标人应提供本协议；否则无须提供。</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2、本协议由委托代理人签字或盖章的，应按照本章载明的格式提供“单位负责人授权书”。</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3、纸质投标文件正本中的本协议（若有）应为原件。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kern w:val="0"/>
          <w:szCs w:val="21"/>
        </w:rPr>
        <w:br w:type="textWrapping"/>
      </w:r>
      <w:r>
        <w:rPr>
          <w:rFonts w:ascii="宋体" w:hAnsi="宋体" w:eastAsia="宋体" w:cs="宋体"/>
          <w:b/>
          <w:bCs/>
          <w:kern w:val="0"/>
        </w:rPr>
        <w:t>二-11中小企业声明函</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rPr>
        <w:t>（专门面向中小企业或小型、微型企业适用，若有）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本投标人郑重声明，根据《政府采购促进中小企业发展暂行办法》（财库[2011]181号）的规定，本投标人为</w:t>
      </w:r>
      <w:r>
        <w:rPr>
          <w:rFonts w:ascii="宋体" w:hAnsi="宋体" w:eastAsia="宋体" w:cs="宋体"/>
          <w:kern w:val="0"/>
          <w:szCs w:val="21"/>
          <w:u w:val="single"/>
        </w:rPr>
        <w:t>（填写“中型</w:t>
      </w:r>
      <w:r>
        <w:rPr>
          <w:rFonts w:ascii="Calibri" w:hAnsi="Calibri" w:eastAsia="宋体" w:cs="宋体"/>
          <w:kern w:val="0"/>
          <w:szCs w:val="21"/>
          <w:u w:val="single"/>
        </w:rPr>
        <w:t>/</w:t>
      </w:r>
      <w:r>
        <w:rPr>
          <w:rFonts w:ascii="宋体" w:hAnsi="宋体" w:eastAsia="宋体" w:cs="宋体"/>
          <w:kern w:val="0"/>
          <w:szCs w:val="21"/>
          <w:u w:val="single"/>
        </w:rPr>
        <w:t>小型</w:t>
      </w:r>
      <w:r>
        <w:rPr>
          <w:rFonts w:ascii="Calibri" w:hAnsi="Calibri" w:eastAsia="宋体" w:cs="宋体"/>
          <w:kern w:val="0"/>
          <w:szCs w:val="21"/>
          <w:u w:val="single"/>
        </w:rPr>
        <w:t>/</w:t>
      </w:r>
      <w:r>
        <w:rPr>
          <w:rFonts w:ascii="宋体" w:hAnsi="宋体" w:eastAsia="宋体" w:cs="宋体"/>
          <w:kern w:val="0"/>
          <w:szCs w:val="21"/>
          <w:u w:val="single"/>
        </w:rPr>
        <w:t>微型”）</w:t>
      </w:r>
      <w:r>
        <w:rPr>
          <w:rFonts w:ascii="宋体" w:hAnsi="宋体" w:eastAsia="宋体" w:cs="宋体"/>
          <w:kern w:val="0"/>
          <w:szCs w:val="21"/>
        </w:rPr>
        <w:t>企业。即本投标人同时满足以下条件：</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1、根据《工业和信息化部、国家统计局、国家发展和改革委员会、财政部关于印发中小企业划型标准规定的通知》（工信部联企业</w:t>
      </w:r>
      <w:r>
        <w:rPr>
          <w:rFonts w:ascii="Calibri" w:hAnsi="Calibri" w:eastAsia="宋体" w:cs="宋体"/>
          <w:kern w:val="0"/>
          <w:szCs w:val="21"/>
        </w:rPr>
        <w:t>[2011]300</w:t>
      </w:r>
      <w:r>
        <w:rPr>
          <w:rFonts w:ascii="宋体" w:hAnsi="宋体" w:eastAsia="宋体" w:cs="宋体"/>
          <w:kern w:val="0"/>
          <w:szCs w:val="21"/>
        </w:rPr>
        <w:t>号）规定的划分标准，本投标人为</w:t>
      </w:r>
      <w:r>
        <w:rPr>
          <w:rFonts w:ascii="宋体" w:hAnsi="宋体" w:eastAsia="宋体" w:cs="宋体"/>
          <w:kern w:val="0"/>
          <w:szCs w:val="21"/>
          <w:u w:val="single"/>
        </w:rPr>
        <w:t>  （填写“中型</w:t>
      </w:r>
      <w:r>
        <w:rPr>
          <w:rFonts w:ascii="Calibri" w:hAnsi="Calibri" w:eastAsia="宋体" w:cs="宋体"/>
          <w:kern w:val="0"/>
          <w:szCs w:val="21"/>
          <w:u w:val="single"/>
        </w:rPr>
        <w:t>/</w:t>
      </w:r>
      <w:r>
        <w:rPr>
          <w:rFonts w:ascii="宋体" w:hAnsi="宋体" w:eastAsia="宋体" w:cs="宋体"/>
          <w:kern w:val="0"/>
          <w:szCs w:val="21"/>
          <w:u w:val="single"/>
        </w:rPr>
        <w:t>小型</w:t>
      </w:r>
      <w:r>
        <w:rPr>
          <w:rFonts w:ascii="Calibri" w:hAnsi="Calibri" w:eastAsia="宋体" w:cs="宋体"/>
          <w:kern w:val="0"/>
          <w:szCs w:val="21"/>
          <w:u w:val="single"/>
        </w:rPr>
        <w:t>/</w:t>
      </w:r>
      <w:r>
        <w:rPr>
          <w:rFonts w:ascii="宋体" w:hAnsi="宋体" w:eastAsia="宋体" w:cs="宋体"/>
          <w:kern w:val="0"/>
          <w:szCs w:val="21"/>
          <w:u w:val="single"/>
        </w:rPr>
        <w:t>微型”）</w:t>
      </w:r>
      <w:r>
        <w:rPr>
          <w:rFonts w:ascii="宋体" w:hAnsi="宋体" w:eastAsia="宋体" w:cs="宋体"/>
          <w:kern w:val="0"/>
          <w:szCs w:val="21"/>
        </w:rPr>
        <w:t>企业。</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2、本投标人参加贵单位组织的</w:t>
      </w:r>
      <w:r>
        <w:rPr>
          <w:rFonts w:ascii="宋体" w:hAnsi="宋体" w:eastAsia="宋体" w:cs="宋体"/>
          <w:kern w:val="0"/>
          <w:szCs w:val="21"/>
          <w:u w:val="single"/>
        </w:rPr>
        <w:t xml:space="preserve"> （填写“项目名称”） </w:t>
      </w:r>
      <w:r>
        <w:rPr>
          <w:rFonts w:ascii="宋体" w:hAnsi="宋体" w:eastAsia="宋体" w:cs="宋体"/>
          <w:kern w:val="0"/>
          <w:szCs w:val="21"/>
        </w:rPr>
        <w:t>项目采购活动，其中：</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①</w:t>
      </w:r>
      <w:r>
        <w:rPr>
          <w:rFonts w:ascii="宋体" w:hAnsi="宋体" w:eastAsia="宋体" w:cs="宋体"/>
          <w:kern w:val="0"/>
          <w:szCs w:val="21"/>
        </w:rPr>
        <w:t>货物（不包括使用大型企业注册商标的货物）：</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）提供本投标人制造的</w:t>
      </w:r>
      <w:r>
        <w:rPr>
          <w:rFonts w:ascii="宋体" w:hAnsi="宋体" w:eastAsia="宋体" w:cs="宋体"/>
          <w:kern w:val="0"/>
          <w:szCs w:val="21"/>
          <w:u w:val="single"/>
        </w:rPr>
        <w:t>（填写“所投合同包、品目号”）</w:t>
      </w:r>
      <w:r>
        <w:rPr>
          <w:rFonts w:ascii="宋体" w:hAnsi="宋体" w:eastAsia="宋体" w:cs="宋体"/>
          <w:kern w:val="0"/>
          <w:szCs w:val="21"/>
        </w:rPr>
        <w:t>货物；或</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）提供其他</w:t>
      </w:r>
      <w:r>
        <w:rPr>
          <w:rFonts w:ascii="宋体" w:hAnsi="宋体" w:eastAsia="宋体" w:cs="宋体"/>
          <w:kern w:val="0"/>
          <w:szCs w:val="21"/>
          <w:u w:val="single"/>
        </w:rPr>
        <w:t>（填写“中型</w:t>
      </w:r>
      <w:r>
        <w:rPr>
          <w:rFonts w:ascii="Calibri" w:hAnsi="Calibri" w:eastAsia="宋体" w:cs="宋体"/>
          <w:kern w:val="0"/>
          <w:szCs w:val="21"/>
          <w:u w:val="single"/>
        </w:rPr>
        <w:t>/</w:t>
      </w:r>
      <w:r>
        <w:rPr>
          <w:rFonts w:ascii="宋体" w:hAnsi="宋体" w:eastAsia="宋体" w:cs="宋体"/>
          <w:kern w:val="0"/>
          <w:szCs w:val="21"/>
          <w:u w:val="single"/>
        </w:rPr>
        <w:t>小型</w:t>
      </w:r>
      <w:r>
        <w:rPr>
          <w:rFonts w:ascii="Calibri" w:hAnsi="Calibri" w:eastAsia="宋体" w:cs="宋体"/>
          <w:kern w:val="0"/>
          <w:szCs w:val="21"/>
          <w:u w:val="single"/>
        </w:rPr>
        <w:t>/</w:t>
      </w:r>
      <w:r>
        <w:rPr>
          <w:rFonts w:ascii="宋体" w:hAnsi="宋体" w:eastAsia="宋体" w:cs="宋体"/>
          <w:kern w:val="0"/>
          <w:szCs w:val="21"/>
          <w:u w:val="single"/>
        </w:rPr>
        <w:t>微型”）</w:t>
      </w:r>
      <w:r>
        <w:rPr>
          <w:rFonts w:ascii="宋体" w:hAnsi="宋体" w:eastAsia="宋体" w:cs="宋体"/>
          <w:kern w:val="0"/>
          <w:szCs w:val="21"/>
        </w:rPr>
        <w:t>企业制造的</w:t>
      </w:r>
      <w:r>
        <w:rPr>
          <w:rFonts w:ascii="宋体" w:hAnsi="宋体" w:eastAsia="宋体" w:cs="宋体"/>
          <w:kern w:val="0"/>
          <w:szCs w:val="21"/>
          <w:u w:val="single"/>
        </w:rPr>
        <w:t>（填写“所投合同包、品目号”）</w:t>
      </w:r>
      <w:r>
        <w:rPr>
          <w:rFonts w:ascii="宋体" w:hAnsi="宋体" w:eastAsia="宋体" w:cs="宋体"/>
          <w:kern w:val="0"/>
          <w:szCs w:val="21"/>
        </w:rPr>
        <w:t>货物。</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②</w:t>
      </w:r>
      <w:r>
        <w:rPr>
          <w:rFonts w:ascii="宋体" w:hAnsi="宋体" w:eastAsia="宋体" w:cs="宋体"/>
          <w:kern w:val="0"/>
          <w:szCs w:val="21"/>
        </w:rPr>
        <w:t>工程：</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）由本投标人承担的</w:t>
      </w:r>
      <w:r>
        <w:rPr>
          <w:rFonts w:ascii="宋体" w:hAnsi="宋体" w:eastAsia="宋体" w:cs="宋体"/>
          <w:kern w:val="0"/>
          <w:szCs w:val="21"/>
          <w:u w:val="single"/>
        </w:rPr>
        <w:t>（填写“所投合同包、品目号”）</w:t>
      </w:r>
      <w:r>
        <w:rPr>
          <w:rFonts w:ascii="宋体" w:hAnsi="宋体" w:eastAsia="宋体" w:cs="宋体"/>
          <w:kern w:val="0"/>
          <w:szCs w:val="21"/>
        </w:rPr>
        <w:t>工程。</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③</w:t>
      </w:r>
      <w:r>
        <w:rPr>
          <w:rFonts w:ascii="宋体" w:hAnsi="宋体" w:eastAsia="宋体" w:cs="宋体"/>
          <w:kern w:val="0"/>
          <w:szCs w:val="21"/>
        </w:rPr>
        <w:t>服务：</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）由本投标人提供的</w:t>
      </w:r>
      <w:r>
        <w:rPr>
          <w:rFonts w:ascii="宋体" w:hAnsi="宋体" w:eastAsia="宋体" w:cs="宋体"/>
          <w:kern w:val="0"/>
          <w:szCs w:val="21"/>
          <w:u w:val="single"/>
        </w:rPr>
        <w:t>（填写“所投合同包、品目号”）</w:t>
      </w:r>
      <w:r>
        <w:rPr>
          <w:rFonts w:ascii="宋体" w:hAnsi="宋体" w:eastAsia="宋体" w:cs="宋体"/>
          <w:kern w:val="0"/>
          <w:szCs w:val="21"/>
        </w:rPr>
        <w:t>服务。</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本投标人对上述声明的真实性负责。如有虚假，将依法承担相应责任。</w:t>
      </w:r>
    </w:p>
    <w:p>
      <w:pPr>
        <w:widowControl/>
        <w:spacing w:before="100" w:beforeAutospacing="1" w:after="100" w:afterAutospacing="1"/>
        <w:ind w:firstLine="420"/>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1、请投标人按照实际情况编制填写本声明函，并在相应的（）中打“√”。</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2、投标人应认真对照《工业和信息化部、国家统计局、国家发展和改革委员会、财政部关于印发中小企业划型标准规定的通知》（工信部联企业</w:t>
      </w:r>
      <w:r>
        <w:rPr>
          <w:rFonts w:ascii="Calibri" w:hAnsi="Calibri" w:eastAsia="宋体" w:cs="宋体"/>
          <w:kern w:val="0"/>
          <w:szCs w:val="21"/>
        </w:rPr>
        <w:t>[2011]300</w:t>
      </w:r>
      <w:r>
        <w:rPr>
          <w:rFonts w:ascii="宋体" w:hAnsi="宋体" w:eastAsia="宋体" w:cs="宋体"/>
          <w:kern w:val="0"/>
          <w:szCs w:val="21"/>
        </w:rPr>
        <w:t>号）规定的划分标准，并按照国家统计局现行的关于统计上大中小微型企业划分办法的有关规定准确划分企业类型。</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3、投标人为监狱企业的，可不填写本声明函，根据其提供的由省级以上监狱管理局、戒毒管理局（含新疆生产建设兵团）出具的属于监狱企业的证明文件进行认定，监狱企业视同小型、微型企业。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4、投标人为残疾人福利性单位的，可不填写本声明函，根据其提供的《残疾人福利性单位声明函》（格式附后）进行认定，残疾人福利性单位视同小型、微型企业。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5、纸质投标文件正本中的本声明函（若有）应为原件。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6、若《中小企业声明函》（包括本格式第</w:t>
      </w:r>
      <w:r>
        <w:rPr>
          <w:rFonts w:ascii="Calibri" w:hAnsi="Calibri" w:eastAsia="宋体" w:cs="宋体"/>
          <w:kern w:val="0"/>
          <w:szCs w:val="21"/>
        </w:rPr>
        <w:t>3</w:t>
      </w:r>
      <w:r>
        <w:rPr>
          <w:rFonts w:ascii="宋体" w:hAnsi="宋体" w:eastAsia="宋体" w:cs="宋体"/>
          <w:kern w:val="0"/>
          <w:szCs w:val="21"/>
        </w:rPr>
        <w:t>、</w:t>
      </w:r>
      <w:r>
        <w:rPr>
          <w:rFonts w:ascii="Calibri" w:hAnsi="Calibri" w:eastAsia="宋体" w:cs="宋体"/>
          <w:kern w:val="0"/>
          <w:szCs w:val="21"/>
        </w:rPr>
        <w:t>4</w:t>
      </w:r>
      <w:r>
        <w:rPr>
          <w:rFonts w:ascii="宋体" w:hAnsi="宋体" w:eastAsia="宋体" w:cs="宋体"/>
          <w:kern w:val="0"/>
          <w:szCs w:val="21"/>
        </w:rPr>
        <w:t>条规定的证明文件及声明函）内容不真实，</w:t>
      </w:r>
      <w:r>
        <w:rPr>
          <w:rFonts w:ascii="宋体" w:hAnsi="宋体" w:eastAsia="宋体" w:cs="宋体"/>
          <w:b/>
          <w:bCs/>
          <w:kern w:val="0"/>
        </w:rPr>
        <w:t>视为提供虚假材料。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宋体"/>
          <w:kern w:val="0"/>
          <w:szCs w:val="21"/>
        </w:rPr>
        <w:br w:type="textWrapping"/>
      </w:r>
      <w:r>
        <w:rPr>
          <w:rFonts w:ascii="宋体" w:hAnsi="宋体" w:eastAsia="宋体" w:cs="宋体"/>
          <w:kern w:val="0"/>
          <w:szCs w:val="21"/>
        </w:rPr>
        <w:t>附：</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rPr>
        <w:t>残疾人福利性单位声明函</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rPr>
        <w:t>（专门面向中小企业或小型、微型企业适用，若有）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ascii="宋体" w:hAnsi="宋体" w:eastAsia="宋体" w:cs="宋体"/>
          <w:kern w:val="0"/>
          <w:szCs w:val="21"/>
          <w:u w:val="single"/>
        </w:rPr>
        <w:t>（填写“项目名称”）</w:t>
      </w:r>
      <w:r>
        <w:rPr>
          <w:rFonts w:ascii="宋体" w:hAnsi="宋体" w:eastAsia="宋体" w:cs="宋体"/>
          <w:kern w:val="0"/>
          <w:szCs w:val="21"/>
        </w:rPr>
        <w:t>项目采购活动：</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）提供本投标人制造的</w:t>
      </w:r>
      <w:r>
        <w:rPr>
          <w:rFonts w:ascii="宋体" w:hAnsi="宋体" w:eastAsia="宋体" w:cs="宋体"/>
          <w:kern w:val="0"/>
          <w:szCs w:val="21"/>
          <w:u w:val="single"/>
        </w:rPr>
        <w:t>（填写“所投合同包、品目号”）</w:t>
      </w:r>
      <w:r>
        <w:rPr>
          <w:rFonts w:ascii="宋体" w:hAnsi="宋体" w:eastAsia="宋体" w:cs="宋体"/>
          <w:kern w:val="0"/>
          <w:szCs w:val="21"/>
        </w:rPr>
        <w:t>货物，</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）由本投标人承担的</w:t>
      </w:r>
      <w:r>
        <w:rPr>
          <w:rFonts w:ascii="宋体" w:hAnsi="宋体" w:eastAsia="宋体" w:cs="宋体"/>
          <w:kern w:val="0"/>
          <w:szCs w:val="21"/>
          <w:u w:val="single"/>
        </w:rPr>
        <w:t>（填写“所投合同包、品目号”）</w:t>
      </w:r>
      <w:r>
        <w:rPr>
          <w:rFonts w:ascii="宋体" w:hAnsi="宋体" w:eastAsia="宋体" w:cs="宋体"/>
          <w:kern w:val="0"/>
          <w:szCs w:val="21"/>
        </w:rPr>
        <w:t>工程，</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）由本投标人提供的</w:t>
      </w:r>
      <w:r>
        <w:rPr>
          <w:rFonts w:ascii="宋体" w:hAnsi="宋体" w:eastAsia="宋体" w:cs="宋体"/>
          <w:kern w:val="0"/>
          <w:szCs w:val="21"/>
          <w:u w:val="single"/>
        </w:rPr>
        <w:t>（填写“所投合同包、品目号”）</w:t>
      </w:r>
      <w:r>
        <w:rPr>
          <w:rFonts w:ascii="宋体" w:hAnsi="宋体" w:eastAsia="宋体" w:cs="宋体"/>
          <w:kern w:val="0"/>
          <w:szCs w:val="21"/>
        </w:rPr>
        <w:t>服务；或</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）提供其他残疾人福利性单位制造的</w:t>
      </w:r>
      <w:r>
        <w:rPr>
          <w:rFonts w:ascii="宋体" w:hAnsi="宋体" w:eastAsia="宋体" w:cs="宋体"/>
          <w:kern w:val="0"/>
          <w:szCs w:val="21"/>
          <w:u w:val="single"/>
        </w:rPr>
        <w:t>（填写“所投合同包、品目号”）</w:t>
      </w:r>
      <w:r>
        <w:rPr>
          <w:rFonts w:ascii="宋体" w:hAnsi="宋体" w:eastAsia="宋体" w:cs="宋体"/>
          <w:kern w:val="0"/>
          <w:szCs w:val="21"/>
        </w:rPr>
        <w:t>货物（不包括使用非残疾人福利性单位注册商标的货物）。</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本投标人对上述声明的真实性负责。如有虚假，将依法承担相应责任。</w:t>
      </w:r>
    </w:p>
    <w:p>
      <w:pPr>
        <w:widowControl/>
        <w:spacing w:before="100" w:beforeAutospacing="1" w:after="100" w:afterAutospacing="1"/>
        <w:ind w:firstLine="420"/>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1、请投标人按照实际情况编制填写本声明函，并在相应的（）中打“√”。</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2、纸质投标文件正本中的本声明函（若有）应为原件。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3、若《残疾人福利性单位声明函》内容不真实，</w:t>
      </w:r>
      <w:r>
        <w:rPr>
          <w:rFonts w:ascii="宋体" w:hAnsi="宋体" w:eastAsia="宋体" w:cs="宋体"/>
          <w:b/>
          <w:bCs/>
          <w:kern w:val="0"/>
        </w:rPr>
        <w:t>视为提供虚假材料。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br w:type="textWrapping"/>
      </w:r>
      <w:r>
        <w:rPr>
          <w:rFonts w:ascii="宋体" w:hAnsi="宋体" w:eastAsia="宋体" w:cs="宋体"/>
          <w:b/>
          <w:bCs/>
          <w:kern w:val="0"/>
        </w:rPr>
        <w:t>二-12其他资格证明文件（若有）</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二</w:t>
      </w:r>
      <w:r>
        <w:rPr>
          <w:rFonts w:ascii="宋体" w:hAnsi="宋体" w:eastAsia="宋体" w:cs="宋体"/>
          <w:b/>
          <w:bCs/>
          <w:kern w:val="0"/>
        </w:rPr>
        <w:t>-12-</w:t>
      </w:r>
      <w:r>
        <w:rPr>
          <w:rFonts w:hint="eastAsia" w:ascii="宋体" w:hAnsi="宋体" w:eastAsia="宋体" w:cs="宋体"/>
          <w:b/>
          <w:bCs/>
          <w:kern w:val="0"/>
        </w:rPr>
        <w:t>①</w:t>
      </w:r>
      <w:r>
        <w:rPr>
          <w:rFonts w:ascii="宋体" w:hAnsi="宋体" w:eastAsia="宋体" w:cs="宋体"/>
          <w:b/>
          <w:bCs/>
          <w:kern w:val="0"/>
        </w:rPr>
        <w:t>具备履行合同所必需设备和专业技术能力专项证明材料（若有）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现附上我方具备履行合同所必需的设备和专业技术能力的专项证明材料复印件（具体附后），上述证明材料真实有效，否则我方负全部责任。</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1、招标文件要求投标人提供“具备履行合同所必需的设备和专业技术能力专项证明材料”的，投标人应按照招标文件规定在此项下提供相应证明材料复印件。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2、投标人提供的相应证明材料复印件均应符合：内容完整、清晰、整洁，并由投标人加盖其单位公章。</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kern w:val="0"/>
          <w:szCs w:val="21"/>
        </w:rPr>
        <w:br w:type="textWrapping"/>
      </w:r>
      <w:r>
        <w:rPr>
          <w:rFonts w:ascii="宋体" w:hAnsi="宋体" w:eastAsia="宋体" w:cs="宋体"/>
          <w:b/>
          <w:bCs/>
          <w:kern w:val="0"/>
        </w:rPr>
        <w:t>二-12-</w:t>
      </w:r>
      <w:r>
        <w:rPr>
          <w:rFonts w:hint="eastAsia" w:ascii="宋体" w:hAnsi="宋体" w:eastAsia="宋体" w:cs="宋体"/>
          <w:b/>
          <w:bCs/>
          <w:kern w:val="0"/>
        </w:rPr>
        <w:t>②</w:t>
      </w:r>
      <w:r>
        <w:rPr>
          <w:rFonts w:ascii="宋体" w:hAnsi="宋体" w:eastAsia="宋体" w:cs="宋体"/>
          <w:b/>
          <w:bCs/>
          <w:kern w:val="0"/>
        </w:rPr>
        <w:t>招标文件规定的其他资格证明文件（若有）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jc w:val="center"/>
        <w:outlineLvl w:val="0"/>
        <w:rPr>
          <w:rFonts w:ascii="宋体" w:hAnsi="宋体" w:eastAsia="宋体" w:cs="宋体"/>
          <w:kern w:val="0"/>
          <w:sz w:val="24"/>
          <w:szCs w:val="24"/>
        </w:rPr>
      </w:pPr>
      <w:bookmarkStart w:id="22" w:name="_Toc7562"/>
      <w:r>
        <w:rPr>
          <w:rFonts w:ascii="宋体" w:hAnsi="宋体" w:eastAsia="宋体" w:cs="宋体"/>
          <w:kern w:val="0"/>
          <w:szCs w:val="21"/>
        </w:rPr>
        <w:t>编制说明</w:t>
      </w:r>
      <w:bookmarkEnd w:id="22"/>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除招标文件另有规定外，招标文件要求提交的除前述资格证明文件外的其他资格证明文件（若有）加盖投标人的单位公章后应在此项下提交。</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kern w:val="0"/>
          <w:szCs w:val="21"/>
        </w:rPr>
        <w:br w:type="textWrapping"/>
      </w:r>
      <w:r>
        <w:rPr>
          <w:rFonts w:ascii="宋体" w:hAnsi="宋体" w:eastAsia="宋体" w:cs="宋体"/>
          <w:kern w:val="0"/>
          <w:szCs w:val="21"/>
        </w:rPr>
        <w:t>三</w:t>
      </w:r>
      <w:r>
        <w:rPr>
          <w:rFonts w:ascii="宋体" w:hAnsi="宋体" w:eastAsia="宋体" w:cs="宋体"/>
          <w:b/>
          <w:bCs/>
          <w:kern w:val="0"/>
        </w:rPr>
        <w:t>、投标保证金</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outlineLvl w:val="0"/>
        <w:rPr>
          <w:rFonts w:ascii="宋体" w:hAnsi="宋体" w:eastAsia="宋体" w:cs="宋体"/>
          <w:kern w:val="0"/>
          <w:sz w:val="24"/>
          <w:szCs w:val="24"/>
        </w:rPr>
      </w:pPr>
      <w:bookmarkStart w:id="23" w:name="_Toc26831"/>
      <w:r>
        <w:rPr>
          <w:rFonts w:ascii="宋体" w:hAnsi="宋体" w:eastAsia="宋体" w:cs="宋体"/>
          <w:kern w:val="0"/>
          <w:szCs w:val="21"/>
        </w:rPr>
        <w:t>编制说明</w:t>
      </w:r>
      <w:bookmarkEnd w:id="23"/>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1、在此项下提交的</w:t>
      </w:r>
      <w:r>
        <w:rPr>
          <w:rFonts w:ascii="宋体" w:hAnsi="宋体" w:eastAsia="宋体" w:cs="宋体"/>
          <w:b/>
          <w:bCs/>
          <w:kern w:val="0"/>
        </w:rPr>
        <w:t>“投标保证金”</w:t>
      </w:r>
      <w:r>
        <w:rPr>
          <w:rFonts w:ascii="宋体" w:hAnsi="宋体" w:eastAsia="宋体" w:cs="宋体"/>
          <w:kern w:val="0"/>
          <w:szCs w:val="21"/>
        </w:rPr>
        <w:t>材料可使用转账凭证复印件或从福建省政府采购网上公开信息系统中下载的有关原始页面的打印件。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2、投标保证金是否已提交的认定按照招标文件第三章规定执行。</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p>
    <w:p>
      <w:pPr>
        <w:pStyle w:val="2"/>
        <w:rPr>
          <w:rFonts w:ascii="宋体" w:hAnsi="宋体" w:eastAsia="宋体" w:cs="宋体"/>
          <w:kern w:val="0"/>
          <w:sz w:val="24"/>
          <w:szCs w:val="24"/>
        </w:rPr>
      </w:pPr>
    </w:p>
    <w:p>
      <w:pPr>
        <w:pStyle w:val="2"/>
        <w:rPr>
          <w:rFonts w:ascii="宋体" w:hAnsi="宋体" w:eastAsia="宋体" w:cs="宋体"/>
          <w:kern w:val="0"/>
          <w:sz w:val="24"/>
          <w:szCs w:val="24"/>
        </w:rPr>
      </w:pPr>
    </w:p>
    <w:p>
      <w:pPr>
        <w:pStyle w:val="2"/>
        <w:rPr>
          <w:rFonts w:ascii="宋体" w:hAnsi="宋体" w:eastAsia="宋体" w:cs="宋体"/>
          <w:kern w:val="0"/>
          <w:sz w:val="24"/>
          <w:szCs w:val="24"/>
        </w:rPr>
      </w:pPr>
    </w:p>
    <w:p>
      <w:pPr>
        <w:pStyle w:val="2"/>
        <w:rPr>
          <w:rFonts w:ascii="宋体" w:hAnsi="宋体" w:eastAsia="宋体" w:cs="宋体"/>
          <w:kern w:val="0"/>
          <w:sz w:val="24"/>
          <w:szCs w:val="24"/>
        </w:rPr>
      </w:pPr>
    </w:p>
    <w:p>
      <w:pPr>
        <w:pStyle w:val="2"/>
        <w:rPr>
          <w:rFonts w:ascii="宋体" w:hAnsi="宋体" w:eastAsia="宋体" w:cs="宋体"/>
          <w:kern w:val="0"/>
          <w:sz w:val="24"/>
          <w:szCs w:val="24"/>
        </w:rPr>
      </w:pP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outlineLvl w:val="0"/>
        <w:rPr>
          <w:rFonts w:ascii="宋体" w:hAnsi="宋体" w:eastAsia="宋体" w:cs="宋体"/>
          <w:kern w:val="0"/>
          <w:sz w:val="24"/>
          <w:szCs w:val="24"/>
        </w:rPr>
      </w:pPr>
      <w:bookmarkStart w:id="24" w:name="_Toc28500"/>
      <w:r>
        <w:rPr>
          <w:rFonts w:ascii="宋体" w:hAnsi="宋体" w:eastAsia="宋体" w:cs="宋体"/>
          <w:b/>
          <w:bCs/>
          <w:kern w:val="0"/>
          <w:sz w:val="29"/>
        </w:rPr>
        <w:t>封面格式</w:t>
      </w:r>
      <w:r>
        <w:rPr>
          <w:rFonts w:ascii="宋体" w:hAnsi="宋体" w:eastAsia="宋体" w:cs="宋体"/>
          <w:kern w:val="0"/>
          <w:sz w:val="36"/>
          <w:szCs w:val="36"/>
        </w:rPr>
        <w:t> </w:t>
      </w:r>
      <w:bookmarkEnd w:id="24"/>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84"/>
          <w:szCs w:val="84"/>
        </w:rPr>
        <w:t>投标文件</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48"/>
        </w:rPr>
        <w:t>（报价部分）</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6"/>
          <w:u w:val="single"/>
        </w:rPr>
        <w:t>（填写正本或副本）</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rPr>
        <w:t>项目名称：</w:t>
      </w:r>
      <w:r>
        <w:rPr>
          <w:rFonts w:ascii="宋体" w:hAnsi="宋体" w:eastAsia="宋体" w:cs="宋体"/>
          <w:b/>
          <w:bCs/>
          <w:kern w:val="0"/>
          <w:sz w:val="32"/>
          <w:u w:val="single"/>
        </w:rPr>
        <w:t>（由投标人填写）</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rPr>
        <w:t>招标编号：</w:t>
      </w:r>
      <w:r>
        <w:rPr>
          <w:rFonts w:ascii="宋体" w:hAnsi="宋体" w:eastAsia="宋体" w:cs="宋体"/>
          <w:b/>
          <w:bCs/>
          <w:kern w:val="0"/>
          <w:sz w:val="32"/>
          <w:u w:val="single"/>
        </w:rPr>
        <w:t>（由投标人填写）</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rPr>
        <w:t>所投合同包：</w:t>
      </w:r>
      <w:r>
        <w:rPr>
          <w:rFonts w:ascii="宋体" w:hAnsi="宋体" w:eastAsia="宋体" w:cs="宋体"/>
          <w:b/>
          <w:bCs/>
          <w:kern w:val="0"/>
          <w:sz w:val="32"/>
          <w:u w:val="single"/>
        </w:rPr>
        <w:t>（由投标人填写）</w:t>
      </w:r>
    </w:p>
    <w:p>
      <w:pPr>
        <w:widowControl/>
        <w:spacing w:before="100" w:beforeAutospacing="1" w:after="100" w:afterAutospacing="1"/>
        <w:jc w:val="left"/>
        <w:rPr>
          <w:rFonts w:ascii="宋体" w:hAnsi="宋体" w:eastAsia="宋体" w:cs="宋体"/>
          <w:kern w:val="0"/>
          <w:sz w:val="36"/>
          <w:szCs w:val="36"/>
        </w:rPr>
      </w:pPr>
      <w:r>
        <w:rPr>
          <w:rFonts w:ascii="宋体" w:hAnsi="宋体" w:eastAsia="宋体" w:cs="宋体"/>
          <w:kern w:val="0"/>
          <w:sz w:val="36"/>
          <w:szCs w:val="36"/>
        </w:rPr>
        <w:t>  </w:t>
      </w:r>
    </w:p>
    <w:p>
      <w:pPr>
        <w:pStyle w:val="2"/>
        <w:rPr>
          <w:rFonts w:ascii="宋体" w:hAnsi="宋体" w:eastAsia="宋体" w:cs="宋体"/>
          <w:kern w:val="0"/>
          <w:sz w:val="36"/>
          <w:szCs w:val="36"/>
        </w:rPr>
      </w:pP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2"/>
        </w:rPr>
        <w:t>投标人：</w:t>
      </w:r>
      <w:r>
        <w:rPr>
          <w:rFonts w:ascii="宋体" w:hAnsi="宋体" w:eastAsia="宋体" w:cs="宋体"/>
          <w:b/>
          <w:bCs/>
          <w:kern w:val="0"/>
          <w:sz w:val="32"/>
          <w:u w:val="single"/>
        </w:rPr>
        <w:t>（填写“全称”）</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2"/>
          <w:u w:val="single"/>
        </w:rPr>
        <w:t>（由投标人填写）</w:t>
      </w:r>
      <w:r>
        <w:rPr>
          <w:rFonts w:ascii="宋体" w:hAnsi="宋体" w:eastAsia="宋体" w:cs="宋体"/>
          <w:b/>
          <w:bCs/>
          <w:kern w:val="0"/>
          <w:sz w:val="32"/>
        </w:rPr>
        <w:t>年</w:t>
      </w:r>
      <w:r>
        <w:rPr>
          <w:rFonts w:ascii="宋体" w:hAnsi="宋体" w:eastAsia="宋体" w:cs="宋体"/>
          <w:b/>
          <w:bCs/>
          <w:kern w:val="0"/>
          <w:sz w:val="32"/>
          <w:u w:val="single"/>
        </w:rPr>
        <w:t>（由投标人填写）</w:t>
      </w:r>
      <w:r>
        <w:rPr>
          <w:rFonts w:ascii="宋体" w:hAnsi="宋体" w:eastAsia="宋体" w:cs="宋体"/>
          <w:b/>
          <w:bCs/>
          <w:kern w:val="0"/>
          <w:sz w:val="32"/>
        </w:rPr>
        <w:t>月</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outlineLvl w:val="0"/>
        <w:rPr>
          <w:rFonts w:ascii="宋体" w:hAnsi="宋体" w:eastAsia="宋体" w:cs="宋体"/>
          <w:kern w:val="0"/>
          <w:sz w:val="24"/>
          <w:szCs w:val="24"/>
        </w:rPr>
      </w:pPr>
      <w:bookmarkStart w:id="25" w:name="_Toc20724"/>
      <w:r>
        <w:rPr>
          <w:rFonts w:ascii="Calibri" w:hAnsi="Calibri" w:eastAsia="宋体" w:cs="宋体"/>
          <w:kern w:val="0"/>
          <w:szCs w:val="21"/>
        </w:rPr>
        <w:br w:type="textWrapping"/>
      </w:r>
      <w:r>
        <w:rPr>
          <w:rFonts w:ascii="宋体" w:hAnsi="宋体" w:eastAsia="宋体" w:cs="宋体"/>
          <w:b/>
          <w:bCs/>
          <w:kern w:val="0"/>
          <w:sz w:val="29"/>
        </w:rPr>
        <w:t>索引</w:t>
      </w:r>
      <w:bookmarkEnd w:id="25"/>
    </w:p>
    <w:p>
      <w:pPr>
        <w:widowControl/>
        <w:spacing w:before="100" w:beforeAutospacing="1" w:after="100" w:afterAutospacing="1"/>
        <w:jc w:val="left"/>
        <w:outlineLvl w:val="0"/>
        <w:rPr>
          <w:rFonts w:ascii="宋体" w:hAnsi="宋体" w:eastAsia="宋体" w:cs="宋体"/>
          <w:kern w:val="0"/>
          <w:sz w:val="24"/>
          <w:szCs w:val="24"/>
        </w:rPr>
      </w:pPr>
      <w:bookmarkStart w:id="26" w:name="_Toc504"/>
      <w:r>
        <w:rPr>
          <w:rFonts w:ascii="宋体" w:hAnsi="宋体" w:eastAsia="宋体" w:cs="宋体"/>
          <w:kern w:val="0"/>
          <w:sz w:val="29"/>
          <w:szCs w:val="29"/>
        </w:rPr>
        <w:t>一、开标一览表</w:t>
      </w:r>
      <w:bookmarkEnd w:id="26"/>
    </w:p>
    <w:p>
      <w:pPr>
        <w:widowControl/>
        <w:spacing w:before="100" w:beforeAutospacing="1" w:after="100" w:afterAutospacing="1"/>
        <w:jc w:val="left"/>
        <w:outlineLvl w:val="0"/>
        <w:rPr>
          <w:rFonts w:ascii="宋体" w:hAnsi="宋体" w:eastAsia="宋体" w:cs="宋体"/>
          <w:kern w:val="0"/>
          <w:sz w:val="24"/>
          <w:szCs w:val="24"/>
        </w:rPr>
      </w:pPr>
      <w:bookmarkStart w:id="27" w:name="_Toc3311"/>
      <w:r>
        <w:rPr>
          <w:rFonts w:ascii="宋体" w:hAnsi="宋体" w:eastAsia="宋体" w:cs="宋体"/>
          <w:kern w:val="0"/>
          <w:sz w:val="29"/>
          <w:szCs w:val="29"/>
        </w:rPr>
        <w:t>二、投标分项报价表</w:t>
      </w:r>
      <w:bookmarkEnd w:id="27"/>
    </w:p>
    <w:p>
      <w:pPr>
        <w:widowControl/>
        <w:spacing w:before="100" w:beforeAutospacing="1" w:after="100" w:afterAutospacing="1"/>
        <w:jc w:val="left"/>
        <w:outlineLvl w:val="0"/>
        <w:rPr>
          <w:rFonts w:ascii="宋体" w:hAnsi="宋体" w:eastAsia="宋体" w:cs="宋体"/>
          <w:kern w:val="0"/>
          <w:sz w:val="24"/>
          <w:szCs w:val="24"/>
        </w:rPr>
      </w:pPr>
      <w:bookmarkStart w:id="28" w:name="_Toc29425"/>
      <w:r>
        <w:rPr>
          <w:rFonts w:ascii="宋体" w:hAnsi="宋体" w:eastAsia="宋体" w:cs="宋体"/>
          <w:kern w:val="0"/>
          <w:sz w:val="29"/>
          <w:szCs w:val="29"/>
        </w:rPr>
        <w:t>三、招标文件规定的价格扣除证明材料（若有）</w:t>
      </w:r>
      <w:bookmarkEnd w:id="28"/>
    </w:p>
    <w:p>
      <w:pPr>
        <w:widowControl/>
        <w:spacing w:before="100" w:beforeAutospacing="1" w:after="100" w:afterAutospacing="1"/>
        <w:jc w:val="left"/>
        <w:outlineLvl w:val="0"/>
        <w:rPr>
          <w:rFonts w:ascii="宋体" w:hAnsi="宋体" w:eastAsia="宋体" w:cs="宋体"/>
          <w:kern w:val="0"/>
          <w:sz w:val="24"/>
          <w:szCs w:val="24"/>
        </w:rPr>
      </w:pPr>
      <w:bookmarkStart w:id="29" w:name="_Toc18794"/>
      <w:r>
        <w:rPr>
          <w:rFonts w:ascii="宋体" w:hAnsi="宋体" w:eastAsia="宋体" w:cs="宋体"/>
          <w:kern w:val="0"/>
          <w:sz w:val="29"/>
          <w:szCs w:val="29"/>
        </w:rPr>
        <w:t>四、招标文件规定的加分证明材料（若有）</w:t>
      </w:r>
      <w:bookmarkEnd w:id="29"/>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kern w:val="0"/>
          <w:szCs w:val="21"/>
        </w:rPr>
        <w:br w:type="textWrapping"/>
      </w:r>
      <w:r>
        <w:rPr>
          <w:rFonts w:ascii="宋体" w:hAnsi="宋体" w:eastAsia="宋体" w:cs="宋体"/>
          <w:b/>
          <w:bCs/>
          <w:kern w:val="0"/>
        </w:rPr>
        <w:t>一、开标一览表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招标编号：</w:t>
      </w:r>
      <w:r>
        <w:rPr>
          <w:rFonts w:ascii="宋体" w:hAnsi="宋体" w:eastAsia="宋体" w:cs="宋体"/>
          <w:kern w:val="0"/>
          <w:szCs w:val="21"/>
          <w:u w:val="single"/>
        </w:rPr>
        <w:t>                   </w:t>
      </w:r>
    </w:p>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Cs w:val="21"/>
        </w:rPr>
        <w:t>货币及单位：人民币元</w:t>
      </w:r>
    </w:p>
    <w:tbl>
      <w:tblPr>
        <w:tblStyle w:val="16"/>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018"/>
        <w:gridCol w:w="5715"/>
        <w:gridCol w:w="701"/>
        <w:gridCol w:w="108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38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合同包</w:t>
            </w:r>
          </w:p>
        </w:tc>
        <w:tc>
          <w:tcPr>
            <w:tcW w:w="510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投标报价</w:t>
            </w:r>
          </w:p>
        </w:tc>
        <w:tc>
          <w:tcPr>
            <w:tcW w:w="85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投标</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保证金</w:t>
            </w:r>
          </w:p>
        </w:tc>
        <w:tc>
          <w:tcPr>
            <w:tcW w:w="118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800" w:hRule="atLeast"/>
          <w:tblCellSpacing w:w="15" w:type="dxa"/>
        </w:trPr>
        <w:tc>
          <w:tcPr>
            <w:tcW w:w="13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w:t>
            </w:r>
          </w:p>
        </w:tc>
        <w:tc>
          <w:tcPr>
            <w:tcW w:w="510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投标总价（大写金额）：</w:t>
            </w:r>
            <w:r>
              <w:rPr>
                <w:rFonts w:ascii="宋体" w:hAnsi="宋体" w:eastAsia="宋体" w:cs="宋体"/>
                <w:kern w:val="0"/>
                <w:szCs w:val="21"/>
                <w:u w:val="single"/>
              </w:rPr>
              <w:t>                      </w:t>
            </w:r>
            <w:r>
              <w:rPr>
                <w:rFonts w:ascii="宋体" w:hAnsi="宋体" w:eastAsia="宋体" w:cs="宋体"/>
                <w:kern w:val="0"/>
                <w:szCs w:val="21"/>
              </w:rPr>
              <w:t>。</w:t>
            </w: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5" w:type="dxa"/>
            <w:vMerge w:val="restart"/>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a.投标报价的明细：详见《投标分项报价表》。</w:t>
            </w:r>
          </w:p>
          <w:p>
            <w:pPr>
              <w:widowControl/>
              <w:spacing w:before="100" w:beforeAutospacing="1" w:after="100" w:afterAutospacing="1"/>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3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p>
        </w:tc>
        <w:tc>
          <w:tcPr>
            <w:tcW w:w="510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0" w:type="auto"/>
            <w:vMerge w:val="continue"/>
            <w:tcBorders>
              <w:top w:val="nil"/>
              <w:left w:val="nil"/>
              <w:bottom w:val="outset" w:color="auto" w:sz="6" w:space="0"/>
              <w:right w:val="outset" w:color="auto" w:sz="6" w:space="0"/>
            </w:tcBorders>
            <w:vAlign w:val="center"/>
          </w:tcPr>
          <w:p>
            <w:pPr>
              <w:widowControl/>
              <w:jc w:val="left"/>
              <w:rPr>
                <w:rFonts w:ascii="宋体" w:hAnsi="宋体" w:eastAsia="宋体" w:cs="宋体"/>
                <w:kern w:val="0"/>
                <w:sz w:val="24"/>
                <w:szCs w:val="24"/>
              </w:rPr>
            </w:pPr>
          </w:p>
        </w:tc>
      </w:tr>
    </w:tbl>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1、本表应按照下列规定填写：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1.1投标人应按照本表格式填写所投的合同包的“投标报价”。</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1.2本表中列示的“合同包”应与《投标分项报价表》中列示的“合同包”保持一致，即：若本表中列示的“合同包”为“</w:t>
      </w:r>
      <w:r>
        <w:rPr>
          <w:rFonts w:ascii="Calibri" w:hAnsi="Calibri" w:eastAsia="宋体" w:cs="宋体"/>
          <w:kern w:val="0"/>
          <w:szCs w:val="21"/>
        </w:rPr>
        <w:t>1</w:t>
      </w:r>
      <w:r>
        <w:rPr>
          <w:rFonts w:ascii="宋体" w:hAnsi="宋体" w:eastAsia="宋体" w:cs="宋体"/>
          <w:kern w:val="0"/>
          <w:szCs w:val="21"/>
        </w:rPr>
        <w:t>”时，《投标分项报价表》中列示的“合同包”亦应为“</w:t>
      </w:r>
      <w:r>
        <w:rPr>
          <w:rFonts w:ascii="Calibri" w:hAnsi="Calibri" w:eastAsia="宋体" w:cs="宋体"/>
          <w:kern w:val="0"/>
          <w:szCs w:val="21"/>
        </w:rPr>
        <w:t>1</w:t>
      </w:r>
      <w:r>
        <w:rPr>
          <w:rFonts w:ascii="宋体" w:hAnsi="宋体" w:eastAsia="宋体" w:cs="宋体"/>
          <w:kern w:val="0"/>
          <w:szCs w:val="21"/>
        </w:rPr>
        <w:t>”，以此类推。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1.3“大写金额”指“投标报价”应用“壹、贰、叁、肆、伍、陆、柒、捌、玖、拾、佰、仟、万、亿、元、角、分、零”等进行填写。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2、纸质投标文件正本中的本表应为原件。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b/>
          <w:bCs/>
          <w:kern w:val="0"/>
          <w:szCs w:val="21"/>
        </w:rPr>
        <w:br w:type="textWrapping"/>
      </w:r>
      <w:r>
        <w:rPr>
          <w:rFonts w:ascii="宋体" w:hAnsi="宋体" w:eastAsia="宋体" w:cs="宋体"/>
          <w:b/>
          <w:bCs/>
          <w:kern w:val="0"/>
        </w:rPr>
        <w:t>二、投标分项报价表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招标编号：</w:t>
      </w:r>
      <w:r>
        <w:rPr>
          <w:rFonts w:ascii="宋体" w:hAnsi="宋体" w:eastAsia="宋体" w:cs="宋体"/>
          <w:kern w:val="0"/>
          <w:szCs w:val="21"/>
          <w:u w:val="single"/>
        </w:rPr>
        <w:t>                   </w:t>
      </w:r>
    </w:p>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Cs w:val="21"/>
        </w:rPr>
        <w:t>货币及单位：人民币元</w:t>
      </w:r>
    </w:p>
    <w:tbl>
      <w:tblPr>
        <w:tblStyle w:val="16"/>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495"/>
        <w:gridCol w:w="954"/>
        <w:gridCol w:w="1496"/>
        <w:gridCol w:w="1234"/>
        <w:gridCol w:w="850"/>
        <w:gridCol w:w="991"/>
        <w:gridCol w:w="589"/>
        <w:gridCol w:w="1087"/>
        <w:gridCol w:w="82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2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合同包</w:t>
            </w:r>
          </w:p>
        </w:tc>
        <w:tc>
          <w:tcPr>
            <w:tcW w:w="96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品目号</w:t>
            </w:r>
          </w:p>
        </w:tc>
        <w:tc>
          <w:tcPr>
            <w:tcW w:w="156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投标标的</w:t>
            </w:r>
          </w:p>
        </w:tc>
        <w:tc>
          <w:tcPr>
            <w:tcW w:w="127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规格</w:t>
            </w:r>
          </w:p>
        </w:tc>
        <w:tc>
          <w:tcPr>
            <w:tcW w:w="85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来源地</w:t>
            </w:r>
          </w:p>
        </w:tc>
        <w:tc>
          <w:tcPr>
            <w:tcW w:w="99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单价</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（现场）</w:t>
            </w:r>
          </w:p>
        </w:tc>
        <w:tc>
          <w:tcPr>
            <w:tcW w:w="57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数量</w:t>
            </w:r>
          </w:p>
        </w:tc>
        <w:tc>
          <w:tcPr>
            <w:tcW w:w="109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总价</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（现场）</w:t>
            </w:r>
          </w:p>
        </w:tc>
        <w:tc>
          <w:tcPr>
            <w:tcW w:w="81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2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w:t>
            </w:r>
          </w:p>
        </w:tc>
        <w:tc>
          <w:tcPr>
            <w:tcW w:w="96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*-1</w:t>
            </w:r>
          </w:p>
        </w:tc>
        <w:tc>
          <w:tcPr>
            <w:tcW w:w="156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27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85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99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57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09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81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96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56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27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85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99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57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09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81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kern w:val="0"/>
                <w:szCs w:val="21"/>
              </w:rPr>
              <w:t>…</w:t>
            </w:r>
          </w:p>
        </w:tc>
        <w:tc>
          <w:tcPr>
            <w:tcW w:w="96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56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27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85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99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57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09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81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r>
    </w:tbl>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1、本表应按照下列规定填写：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ascii="Calibri" w:hAnsi="Calibri" w:eastAsia="宋体" w:cs="宋体"/>
          <w:kern w:val="0"/>
          <w:szCs w:val="21"/>
        </w:rPr>
        <w:t>1</w:t>
      </w:r>
      <w:r>
        <w:rPr>
          <w:rFonts w:ascii="宋体" w:hAnsi="宋体" w:eastAsia="宋体" w:cs="宋体"/>
          <w:kern w:val="0"/>
          <w:szCs w:val="21"/>
        </w:rPr>
        <w:t>”时，本表中列示的“合同包”亦应为“</w:t>
      </w:r>
      <w:r>
        <w:rPr>
          <w:rFonts w:ascii="Calibri" w:hAnsi="Calibri" w:eastAsia="宋体" w:cs="宋体"/>
          <w:kern w:val="0"/>
          <w:szCs w:val="21"/>
        </w:rPr>
        <w:t>1</w:t>
      </w:r>
      <w:r>
        <w:rPr>
          <w:rFonts w:ascii="宋体" w:hAnsi="宋体" w:eastAsia="宋体" w:cs="宋体"/>
          <w:kern w:val="0"/>
          <w:szCs w:val="21"/>
        </w:rPr>
        <w:t>”，以此类推。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1.2“投标标的”为货物的：</w:t>
      </w:r>
      <w:r>
        <w:rPr>
          <w:rFonts w:ascii="宋体" w:hAnsi="宋体" w:eastAsia="宋体" w:cs="宋体"/>
          <w:b/>
          <w:bCs/>
          <w:kern w:val="0"/>
        </w:rPr>
        <w:t>“规格”</w:t>
      </w:r>
      <w:r>
        <w:rPr>
          <w:rFonts w:ascii="宋体" w:hAnsi="宋体" w:eastAsia="宋体" w:cs="宋体"/>
          <w:kern w:val="0"/>
          <w:szCs w:val="21"/>
        </w:rPr>
        <w:t>项下应填写货物制造厂商赋予的品牌（属于节能、环保清单产品的货物，填写的品牌名称应与清单载明的品牌名称保持一致）及具体型号。</w:t>
      </w:r>
      <w:r>
        <w:rPr>
          <w:rFonts w:ascii="宋体" w:hAnsi="宋体" w:eastAsia="宋体" w:cs="宋体"/>
          <w:b/>
          <w:bCs/>
          <w:kern w:val="0"/>
        </w:rPr>
        <w:t>“来源地”</w:t>
      </w:r>
      <w:r>
        <w:rPr>
          <w:rFonts w:ascii="宋体" w:hAnsi="宋体" w:eastAsia="宋体" w:cs="宋体"/>
          <w:kern w:val="0"/>
          <w:szCs w:val="21"/>
        </w:rPr>
        <w:t>应填写货物的原产地。</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1.3“投标标的”为服务的：</w:t>
      </w:r>
      <w:r>
        <w:rPr>
          <w:rFonts w:ascii="宋体" w:hAnsi="宋体" w:eastAsia="宋体" w:cs="宋体"/>
          <w:b/>
          <w:bCs/>
          <w:kern w:val="0"/>
        </w:rPr>
        <w:t>“规格”</w:t>
      </w:r>
      <w:r>
        <w:rPr>
          <w:rFonts w:ascii="宋体" w:hAnsi="宋体" w:eastAsia="宋体" w:cs="宋体"/>
          <w:kern w:val="0"/>
          <w:szCs w:val="21"/>
        </w:rPr>
        <w:t>项下应填写服务提供者提供的服务标准及品牌（若有）。</w:t>
      </w:r>
      <w:r>
        <w:rPr>
          <w:rFonts w:ascii="宋体" w:hAnsi="宋体" w:eastAsia="宋体" w:cs="宋体"/>
          <w:b/>
          <w:bCs/>
          <w:kern w:val="0"/>
        </w:rPr>
        <w:t>“来源地”</w:t>
      </w:r>
      <w:r>
        <w:rPr>
          <w:rFonts w:ascii="宋体" w:hAnsi="宋体" w:eastAsia="宋体" w:cs="宋体"/>
          <w:kern w:val="0"/>
          <w:szCs w:val="21"/>
        </w:rPr>
        <w:t>应填写服务提供者的所在地。</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1.4同一合同包中，</w:t>
      </w:r>
      <w:r>
        <w:rPr>
          <w:rFonts w:ascii="宋体" w:hAnsi="宋体" w:eastAsia="宋体" w:cs="宋体"/>
          <w:b/>
          <w:bCs/>
          <w:kern w:val="0"/>
        </w:rPr>
        <w:t>“单价（现场）”</w:t>
      </w:r>
      <w:r>
        <w:rPr>
          <w:rFonts w:ascii="宋体" w:hAnsi="宋体" w:eastAsia="宋体" w:cs="宋体"/>
          <w:kern w:val="0"/>
          <w:szCs w:val="21"/>
        </w:rPr>
        <w:t>×</w:t>
      </w:r>
      <w:r>
        <w:rPr>
          <w:rFonts w:ascii="宋体" w:hAnsi="宋体" w:eastAsia="宋体" w:cs="宋体"/>
          <w:b/>
          <w:bCs/>
          <w:kern w:val="0"/>
        </w:rPr>
        <w:t>“数量”</w:t>
      </w:r>
      <w:r>
        <w:rPr>
          <w:rFonts w:ascii="宋体" w:hAnsi="宋体" w:eastAsia="宋体" w:cs="宋体"/>
          <w:kern w:val="0"/>
          <w:szCs w:val="21"/>
        </w:rPr>
        <w:t>=</w:t>
      </w:r>
      <w:r>
        <w:rPr>
          <w:rFonts w:ascii="宋体" w:hAnsi="宋体" w:eastAsia="宋体" w:cs="宋体"/>
          <w:b/>
          <w:bCs/>
          <w:kern w:val="0"/>
        </w:rPr>
        <w:t>“总价（现场）”</w:t>
      </w:r>
      <w:r>
        <w:rPr>
          <w:rFonts w:ascii="宋体" w:hAnsi="宋体" w:eastAsia="宋体" w:cs="宋体"/>
          <w:kern w:val="0"/>
          <w:szCs w:val="21"/>
        </w:rPr>
        <w:t>，全部品目号</w:t>
      </w:r>
      <w:r>
        <w:rPr>
          <w:rFonts w:ascii="宋体" w:hAnsi="宋体" w:eastAsia="宋体" w:cs="宋体"/>
          <w:b/>
          <w:bCs/>
          <w:kern w:val="0"/>
        </w:rPr>
        <w:t>“总价（现场）”</w:t>
      </w:r>
      <w:r>
        <w:rPr>
          <w:rFonts w:ascii="宋体" w:hAnsi="宋体" w:eastAsia="宋体" w:cs="宋体"/>
          <w:kern w:val="0"/>
          <w:szCs w:val="21"/>
        </w:rPr>
        <w:t>的合计金额应与《开标一览表》中相应合同包列示的</w:t>
      </w:r>
      <w:r>
        <w:rPr>
          <w:rFonts w:ascii="宋体" w:hAnsi="宋体" w:eastAsia="宋体" w:cs="宋体"/>
          <w:b/>
          <w:bCs/>
          <w:kern w:val="0"/>
        </w:rPr>
        <w:t>“投标总价”</w:t>
      </w:r>
      <w:r>
        <w:rPr>
          <w:rFonts w:ascii="宋体" w:hAnsi="宋体" w:eastAsia="宋体" w:cs="宋体"/>
          <w:kern w:val="0"/>
          <w:szCs w:val="21"/>
        </w:rPr>
        <w:t>保持一致。</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1.5若招标文件要求投标人对“备品备件价格、专用工具价格、技术服务费、安装调试费、检验培训费、运输费、保险费、税收”等进行报价的，请在本表的</w:t>
      </w:r>
      <w:r>
        <w:rPr>
          <w:rFonts w:ascii="宋体" w:hAnsi="宋体" w:eastAsia="宋体" w:cs="宋体"/>
          <w:b/>
          <w:bCs/>
          <w:kern w:val="0"/>
        </w:rPr>
        <w:t>“备注”</w:t>
      </w:r>
      <w:r>
        <w:rPr>
          <w:rFonts w:ascii="宋体" w:hAnsi="宋体" w:eastAsia="宋体" w:cs="宋体"/>
          <w:kern w:val="0"/>
          <w:szCs w:val="21"/>
        </w:rPr>
        <w:t>项下填写。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2、纸质投标文件正本中的本表应为原件。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kern w:val="0"/>
          <w:szCs w:val="21"/>
        </w:rPr>
        <w:br w:type="textWrapping"/>
      </w:r>
      <w:r>
        <w:rPr>
          <w:rFonts w:ascii="宋体" w:hAnsi="宋体" w:eastAsia="宋体" w:cs="宋体"/>
          <w:b/>
          <w:bCs/>
          <w:kern w:val="0"/>
        </w:rPr>
        <w:t>三、招标文件规定的价格扣除证明材料（若有）</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rPr>
        <w:t>三-1优先类节能产品、环境标志产品价格扣除证明材料（若有）</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rPr>
        <w:t>三-1-</w:t>
      </w:r>
      <w:r>
        <w:rPr>
          <w:rFonts w:hint="eastAsia" w:ascii="宋体" w:hAnsi="宋体" w:eastAsia="宋体" w:cs="宋体"/>
          <w:b/>
          <w:bCs/>
          <w:kern w:val="0"/>
        </w:rPr>
        <w:t>①</w:t>
      </w:r>
      <w:r>
        <w:rPr>
          <w:rFonts w:ascii="宋体" w:hAnsi="宋体" w:eastAsia="宋体" w:cs="宋体"/>
          <w:b/>
          <w:bCs/>
          <w:kern w:val="0"/>
        </w:rPr>
        <w:t>优先类节能产品、环境标志产品统计表（价格扣除适用，若有）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招标编号：</w:t>
      </w:r>
      <w:r>
        <w:rPr>
          <w:rFonts w:ascii="宋体" w:hAnsi="宋体" w:eastAsia="宋体" w:cs="宋体"/>
          <w:kern w:val="0"/>
          <w:szCs w:val="21"/>
          <w:u w:val="single"/>
        </w:rPr>
        <w:t>                   </w:t>
      </w:r>
    </w:p>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Cs w:val="21"/>
        </w:rPr>
        <w:t>货币及单位：人民币元</w:t>
      </w:r>
    </w:p>
    <w:tbl>
      <w:tblPr>
        <w:tblStyle w:val="16"/>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219"/>
        <w:gridCol w:w="1215"/>
        <w:gridCol w:w="1209"/>
        <w:gridCol w:w="1221"/>
        <w:gridCol w:w="1209"/>
        <w:gridCol w:w="1222"/>
        <w:gridCol w:w="12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305" w:type="dxa"/>
            <w:gridSpan w:val="6"/>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合同包</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品目号</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货物名称</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单价</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（现场）</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数量</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总价</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（现场）</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*-1</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kern w:val="0"/>
                <w:szCs w:val="21"/>
              </w:rPr>
              <w:t>…</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备注</w:t>
            </w:r>
          </w:p>
        </w:tc>
        <w:tc>
          <w:tcPr>
            <w:tcW w:w="7305" w:type="dxa"/>
            <w:gridSpan w:val="6"/>
            <w:tcBorders>
              <w:top w:val="nil"/>
              <w:left w:val="nil"/>
              <w:bottom w:val="outset" w:color="auto" w:sz="6" w:space="0"/>
              <w:right w:val="outset" w:color="auto" w:sz="6" w:space="0"/>
            </w:tcBorders>
            <w:tcMar>
              <w:top w:w="0" w:type="dxa"/>
              <w:left w:w="105" w:type="dxa"/>
              <w:bottom w:w="0" w:type="dxa"/>
              <w:right w:w="105" w:type="dxa"/>
            </w:tcMa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a.合同包内属于节能、环境标志产品的报价总金额：</w:t>
            </w:r>
            <w:r>
              <w:rPr>
                <w:rFonts w:ascii="宋体" w:hAnsi="宋体" w:eastAsia="宋体" w:cs="宋体"/>
                <w:kern w:val="0"/>
                <w:szCs w:val="21"/>
                <w:u w:val="single"/>
              </w:rPr>
              <w:t>              </w:t>
            </w: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b.合同包投标总价（报价总金额）：</w:t>
            </w:r>
            <w:r>
              <w:rPr>
                <w:rFonts w:ascii="宋体" w:hAnsi="宋体" w:eastAsia="宋体" w:cs="宋体"/>
                <w:kern w:val="0"/>
                <w:szCs w:val="21"/>
                <w:u w:val="single"/>
              </w:rPr>
              <w:t>              </w:t>
            </w: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c.“合同包内属于节能、环境标志产品的报价总金额”占“合同包投标总价（报价总金额）”的比例（以</w:t>
            </w:r>
            <w:r>
              <w:rPr>
                <w:rFonts w:ascii="Calibri" w:hAnsi="Calibri" w:eastAsia="宋体" w:cs="宋体"/>
                <w:kern w:val="0"/>
                <w:szCs w:val="21"/>
              </w:rPr>
              <w:t>%</w:t>
            </w:r>
            <w:r>
              <w:rPr>
                <w:rFonts w:ascii="宋体" w:hAnsi="宋体" w:eastAsia="宋体" w:cs="宋体"/>
                <w:kern w:val="0"/>
                <w:szCs w:val="21"/>
              </w:rPr>
              <w:t>列示）：</w:t>
            </w:r>
            <w:r>
              <w:rPr>
                <w:rFonts w:ascii="宋体" w:hAnsi="宋体" w:eastAsia="宋体" w:cs="宋体"/>
                <w:kern w:val="0"/>
                <w:szCs w:val="21"/>
                <w:u w:val="single"/>
              </w:rPr>
              <w:t>              </w:t>
            </w:r>
            <w:r>
              <w:rPr>
                <w:rFonts w:ascii="宋体" w:hAnsi="宋体" w:eastAsia="宋体" w:cs="宋体"/>
                <w:kern w:val="0"/>
                <w:szCs w:val="21"/>
              </w:rPr>
              <w:t>。</w:t>
            </w:r>
          </w:p>
        </w:tc>
      </w:tr>
    </w:tbl>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1、对节能、环境标志产品计算价格扣除时，只依据投标文件</w:t>
      </w:r>
      <w:r>
        <w:rPr>
          <w:rFonts w:ascii="宋体" w:hAnsi="宋体" w:eastAsia="宋体" w:cs="宋体"/>
          <w:b/>
          <w:bCs/>
          <w:kern w:val="0"/>
        </w:rPr>
        <w:t>“三</w:t>
      </w:r>
      <w:r>
        <w:rPr>
          <w:rFonts w:ascii="Calibri" w:hAnsi="Calibri" w:eastAsia="宋体" w:cs="宋体"/>
          <w:b/>
          <w:bCs/>
          <w:kern w:val="0"/>
        </w:rPr>
        <w:t>-1-</w:t>
      </w:r>
      <w:r>
        <w:rPr>
          <w:rFonts w:hint="eastAsia" w:ascii="宋体" w:hAnsi="宋体" w:eastAsia="宋体" w:cs="宋体"/>
          <w:b/>
          <w:bCs/>
          <w:kern w:val="0"/>
        </w:rPr>
        <w:t>②</w:t>
      </w:r>
      <w:r>
        <w:rPr>
          <w:rFonts w:ascii="宋体" w:hAnsi="宋体" w:eastAsia="宋体" w:cs="宋体"/>
          <w:b/>
          <w:bCs/>
          <w:kern w:val="0"/>
        </w:rPr>
        <w:t>优先类节能产品、环境标志产品证明材料（价格扣除适用，若有）”。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2、本表以合同包为单位，不同合同包请分别填写；同一合同包请按照其品目号顺序分别填写。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3、具体统计、计算：</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3.1若节能、环境标志产品仅是构成投标产品的部件、组件或零件，则该投标产品不享受鼓励优惠政策。同一品目中各认证证书不重复计算价格扣除。强制类节能产品不享受价格扣除。</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3.2计算结果若除不尽，可四舍五入保留到小数点后两位。</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3.3投标人应按照招标文件要求认真统计、计算，否则评标委员会不予认定。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3.4若无节能、环境标志产品，不填写本表，否则，</w:t>
      </w:r>
      <w:r>
        <w:rPr>
          <w:rFonts w:ascii="宋体" w:hAnsi="宋体" w:eastAsia="宋体" w:cs="宋体"/>
          <w:b/>
          <w:bCs/>
          <w:kern w:val="0"/>
        </w:rPr>
        <w:t>视为提供虚假材料。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4、纸质投标文件正本中的本表（若有）应为原件。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b/>
          <w:bCs/>
          <w:kern w:val="0"/>
          <w:szCs w:val="21"/>
        </w:rPr>
        <w:br w:type="textWrapping"/>
      </w:r>
      <w:r>
        <w:rPr>
          <w:rFonts w:ascii="宋体" w:hAnsi="宋体" w:eastAsia="宋体" w:cs="宋体"/>
          <w:b/>
          <w:bCs/>
          <w:kern w:val="0"/>
        </w:rPr>
        <w:t>三-1-</w:t>
      </w:r>
      <w:r>
        <w:rPr>
          <w:rFonts w:hint="eastAsia" w:ascii="宋体" w:hAnsi="宋体" w:eastAsia="宋体" w:cs="宋体"/>
          <w:b/>
          <w:bCs/>
          <w:kern w:val="0"/>
        </w:rPr>
        <w:t>②</w:t>
      </w:r>
      <w:r>
        <w:rPr>
          <w:rFonts w:ascii="宋体" w:hAnsi="宋体" w:eastAsia="宋体" w:cs="宋体"/>
          <w:b/>
          <w:bCs/>
          <w:kern w:val="0"/>
        </w:rPr>
        <w:t>优先类节能产品、环境标志产品证明材料（价格扣除适用，若有）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jc w:val="center"/>
        <w:outlineLvl w:val="0"/>
        <w:rPr>
          <w:rFonts w:ascii="宋体" w:hAnsi="宋体" w:eastAsia="宋体" w:cs="宋体"/>
          <w:kern w:val="0"/>
          <w:sz w:val="24"/>
          <w:szCs w:val="24"/>
        </w:rPr>
      </w:pPr>
      <w:bookmarkStart w:id="30" w:name="_Toc5360"/>
      <w:r>
        <w:rPr>
          <w:rFonts w:ascii="宋体" w:hAnsi="宋体" w:eastAsia="宋体" w:cs="宋体"/>
          <w:kern w:val="0"/>
          <w:szCs w:val="21"/>
        </w:rPr>
        <w:t>编制说明</w:t>
      </w:r>
      <w:bookmarkEnd w:id="30"/>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除招标文件另有规定外，投标人应按照招标文件第二章（表1）第</w:t>
      </w:r>
      <w:r>
        <w:rPr>
          <w:rFonts w:ascii="Calibri" w:hAnsi="Calibri" w:eastAsia="宋体" w:cs="宋体"/>
          <w:kern w:val="0"/>
          <w:szCs w:val="21"/>
        </w:rPr>
        <w:t>13</w:t>
      </w:r>
      <w:r>
        <w:rPr>
          <w:rFonts w:ascii="宋体" w:hAnsi="宋体" w:eastAsia="宋体" w:cs="宋体"/>
          <w:kern w:val="0"/>
          <w:szCs w:val="21"/>
        </w:rPr>
        <w:t>项规定提供相应证明材料。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b/>
          <w:bCs/>
          <w:kern w:val="0"/>
          <w:szCs w:val="21"/>
        </w:rPr>
        <w:br w:type="textWrapping"/>
      </w:r>
      <w:r>
        <w:rPr>
          <w:rFonts w:ascii="宋体" w:hAnsi="宋体" w:eastAsia="宋体" w:cs="宋体"/>
          <w:b/>
          <w:bCs/>
          <w:kern w:val="0"/>
        </w:rPr>
        <w:t>三-2小型、微型企业产品等价格扣除证明材料（若有）</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rPr>
        <w:t>三-2-</w:t>
      </w:r>
      <w:r>
        <w:rPr>
          <w:rFonts w:hint="eastAsia" w:ascii="宋体" w:hAnsi="宋体" w:eastAsia="宋体" w:cs="宋体"/>
          <w:b/>
          <w:bCs/>
          <w:kern w:val="0"/>
        </w:rPr>
        <w:t>①</w:t>
      </w:r>
      <w:r>
        <w:rPr>
          <w:rFonts w:ascii="宋体" w:hAnsi="宋体" w:eastAsia="宋体" w:cs="宋体"/>
          <w:b/>
          <w:bCs/>
          <w:kern w:val="0"/>
        </w:rPr>
        <w:t>小型、微型企业产品等统计表（价格扣除适用，若有）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招标编号：</w:t>
      </w:r>
      <w:r>
        <w:rPr>
          <w:rFonts w:ascii="宋体" w:hAnsi="宋体" w:eastAsia="宋体" w:cs="宋体"/>
          <w:kern w:val="0"/>
          <w:szCs w:val="21"/>
          <w:u w:val="single"/>
        </w:rPr>
        <w:t>                   </w:t>
      </w:r>
    </w:p>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Cs w:val="21"/>
        </w:rPr>
        <w:t>货币及单位：人民币元</w:t>
      </w:r>
    </w:p>
    <w:tbl>
      <w:tblPr>
        <w:tblStyle w:val="16"/>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213"/>
        <w:gridCol w:w="1204"/>
        <w:gridCol w:w="1071"/>
        <w:gridCol w:w="1000"/>
        <w:gridCol w:w="719"/>
        <w:gridCol w:w="1000"/>
        <w:gridCol w:w="1128"/>
        <w:gridCol w:w="118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305" w:type="dxa"/>
            <w:gridSpan w:val="7"/>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合同包内属于小型、微型企业产品等的情况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合同包</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品目号</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采购标的</w:t>
            </w:r>
          </w:p>
        </w:tc>
        <w:tc>
          <w:tcPr>
            <w:tcW w:w="99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单价</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（现场）</w:t>
            </w:r>
          </w:p>
        </w:tc>
        <w:tc>
          <w:tcPr>
            <w:tcW w:w="70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数量</w:t>
            </w:r>
          </w:p>
        </w:tc>
        <w:tc>
          <w:tcPr>
            <w:tcW w:w="99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总价</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（现场）</w:t>
            </w:r>
          </w:p>
        </w:tc>
        <w:tc>
          <w:tcPr>
            <w:tcW w:w="114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制造厂商</w:t>
            </w:r>
          </w:p>
        </w:tc>
        <w:tc>
          <w:tcPr>
            <w:tcW w:w="118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企业类型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*-1</w:t>
            </w:r>
          </w:p>
        </w:tc>
        <w:tc>
          <w:tcPr>
            <w:tcW w:w="108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9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0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9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kern w:val="0"/>
                <w:szCs w:val="21"/>
              </w:rPr>
              <w:t>…</w:t>
            </w:r>
          </w:p>
        </w:tc>
        <w:tc>
          <w:tcPr>
            <w:tcW w:w="108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9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0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9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备注</w:t>
            </w:r>
          </w:p>
        </w:tc>
        <w:tc>
          <w:tcPr>
            <w:tcW w:w="7305" w:type="dxa"/>
            <w:gridSpan w:val="7"/>
            <w:tcBorders>
              <w:top w:val="nil"/>
              <w:left w:val="nil"/>
              <w:bottom w:val="outset" w:color="auto" w:sz="6" w:space="0"/>
              <w:right w:val="outset" w:color="auto" w:sz="6" w:space="0"/>
            </w:tcBorders>
            <w:tcMar>
              <w:top w:w="0" w:type="dxa"/>
              <w:left w:w="105" w:type="dxa"/>
              <w:bottom w:w="0" w:type="dxa"/>
              <w:right w:w="105" w:type="dxa"/>
            </w:tcMa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合同包内属于小型、微型企业产品等的报价总金额：</w:t>
            </w:r>
            <w:r>
              <w:rPr>
                <w:rFonts w:ascii="宋体" w:hAnsi="宋体" w:eastAsia="宋体" w:cs="宋体"/>
                <w:kern w:val="0"/>
                <w:szCs w:val="21"/>
                <w:u w:val="single"/>
              </w:rPr>
              <w:t>              </w:t>
            </w:r>
            <w:r>
              <w:rPr>
                <w:rFonts w:ascii="宋体" w:hAnsi="宋体" w:eastAsia="宋体" w:cs="宋体"/>
                <w:kern w:val="0"/>
                <w:szCs w:val="21"/>
              </w:rPr>
              <w:t>。</w:t>
            </w:r>
          </w:p>
        </w:tc>
      </w:tr>
    </w:tbl>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1、对小型、微型企业产品等计算价格扣除时，只依据投标文件</w:t>
      </w:r>
      <w:r>
        <w:rPr>
          <w:rFonts w:ascii="宋体" w:hAnsi="宋体" w:eastAsia="宋体" w:cs="宋体"/>
          <w:b/>
          <w:bCs/>
          <w:kern w:val="0"/>
        </w:rPr>
        <w:t>“三</w:t>
      </w:r>
      <w:r>
        <w:rPr>
          <w:rFonts w:ascii="Calibri" w:hAnsi="Calibri" w:eastAsia="宋体" w:cs="宋体"/>
          <w:b/>
          <w:bCs/>
          <w:kern w:val="0"/>
        </w:rPr>
        <w:t>-2-</w:t>
      </w:r>
      <w:r>
        <w:rPr>
          <w:rFonts w:hint="eastAsia" w:ascii="宋体" w:hAnsi="宋体" w:eastAsia="宋体" w:cs="宋体"/>
          <w:b/>
          <w:bCs/>
          <w:kern w:val="0"/>
        </w:rPr>
        <w:t>②</w:t>
      </w:r>
      <w:r>
        <w:rPr>
          <w:rFonts w:ascii="宋体" w:hAnsi="宋体" w:eastAsia="宋体" w:cs="宋体"/>
          <w:b/>
          <w:bCs/>
          <w:kern w:val="0"/>
        </w:rPr>
        <w:t>中小企业声明函（价格扣除适用，若有）”及“三</w:t>
      </w:r>
      <w:r>
        <w:rPr>
          <w:rFonts w:ascii="Calibri" w:hAnsi="Calibri" w:eastAsia="宋体" w:cs="宋体"/>
          <w:b/>
          <w:bCs/>
          <w:kern w:val="0"/>
        </w:rPr>
        <w:t>-2-</w:t>
      </w:r>
      <w:r>
        <w:rPr>
          <w:rFonts w:hint="eastAsia" w:ascii="宋体" w:hAnsi="宋体" w:eastAsia="宋体" w:cs="宋体"/>
          <w:b/>
          <w:bCs/>
          <w:kern w:val="0"/>
        </w:rPr>
        <w:t>③</w:t>
      </w:r>
      <w:r>
        <w:rPr>
          <w:rFonts w:ascii="宋体" w:hAnsi="宋体" w:eastAsia="宋体" w:cs="宋体"/>
          <w:b/>
          <w:bCs/>
          <w:kern w:val="0"/>
        </w:rPr>
        <w:t>小型、微型企业等证明材料（价格扣除适用，若有）”。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2、本表以合同包为单位，不同合同包请分别填写；同一合同包请按照其品目号顺序分别填写。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w:t>
      </w:r>
      <w:r>
        <w:rPr>
          <w:rFonts w:ascii="宋体" w:hAnsi="宋体" w:eastAsia="宋体" w:cs="宋体"/>
          <w:b/>
          <w:bCs/>
          <w:kern w:val="0"/>
        </w:rPr>
        <w:t>除本表第4条规定情形外，小型、微型企业（含监狱企业）承担的工程或提供的服务不享受价格扣除。</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4、符合财政部、民政部、中国残联文件（财库</w:t>
      </w:r>
      <w:r>
        <w:rPr>
          <w:rFonts w:ascii="Calibri" w:hAnsi="Calibri" w:eastAsia="宋体" w:cs="宋体"/>
          <w:kern w:val="0"/>
          <w:szCs w:val="21"/>
        </w:rPr>
        <w:t>[2017]141</w:t>
      </w:r>
      <w:r>
        <w:rPr>
          <w:rFonts w:ascii="宋体" w:hAnsi="宋体" w:eastAsia="宋体" w:cs="宋体"/>
          <w:kern w:val="0"/>
          <w:szCs w:val="21"/>
        </w:rPr>
        <w:t>号）规定的残疾人福利性单位提供本单位制造的货物、承担的工程或服务，或提供其他残疾人福利性单位制造的货物（不包括使用非残疾人福利性单位注册商标的货物）</w:t>
      </w:r>
      <w:r>
        <w:rPr>
          <w:rFonts w:ascii="宋体" w:hAnsi="宋体" w:eastAsia="宋体" w:cs="宋体"/>
          <w:b/>
          <w:bCs/>
          <w:kern w:val="0"/>
        </w:rPr>
        <w:t>可享受价格扣除。</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5、纸质投标文件正本中的本表（若有）应为原件。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b/>
          <w:bCs/>
          <w:kern w:val="0"/>
          <w:szCs w:val="21"/>
        </w:rPr>
        <w:br w:type="textWrapping"/>
      </w:r>
      <w:r>
        <w:rPr>
          <w:rFonts w:ascii="宋体" w:hAnsi="宋体" w:eastAsia="宋体" w:cs="宋体"/>
          <w:b/>
          <w:bCs/>
          <w:kern w:val="0"/>
        </w:rPr>
        <w:t>三-2-</w:t>
      </w:r>
      <w:r>
        <w:rPr>
          <w:rFonts w:hint="eastAsia" w:ascii="宋体" w:hAnsi="宋体" w:eastAsia="宋体" w:cs="宋体"/>
          <w:b/>
          <w:bCs/>
          <w:kern w:val="0"/>
        </w:rPr>
        <w:t>②</w:t>
      </w:r>
      <w:r>
        <w:rPr>
          <w:rFonts w:ascii="宋体" w:hAnsi="宋体" w:eastAsia="宋体" w:cs="宋体"/>
          <w:b/>
          <w:bCs/>
          <w:kern w:val="0"/>
        </w:rPr>
        <w:t>中小企业声明函（价格扣除适用，若有）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本投标人郑重声明，根据《政府采购促进中小企业发展暂行办法》（财库[2011]181号）的规定，本投标人为</w:t>
      </w:r>
      <w:r>
        <w:rPr>
          <w:rFonts w:ascii="宋体" w:hAnsi="宋体" w:eastAsia="宋体" w:cs="宋体"/>
          <w:kern w:val="0"/>
          <w:szCs w:val="21"/>
          <w:u w:val="single"/>
        </w:rPr>
        <w:t>（填写“中型</w:t>
      </w:r>
      <w:r>
        <w:rPr>
          <w:rFonts w:ascii="Calibri" w:hAnsi="Calibri" w:eastAsia="宋体" w:cs="宋体"/>
          <w:kern w:val="0"/>
          <w:szCs w:val="21"/>
          <w:u w:val="single"/>
        </w:rPr>
        <w:t>/</w:t>
      </w:r>
      <w:r>
        <w:rPr>
          <w:rFonts w:ascii="宋体" w:hAnsi="宋体" w:eastAsia="宋体" w:cs="宋体"/>
          <w:kern w:val="0"/>
          <w:szCs w:val="21"/>
          <w:u w:val="single"/>
        </w:rPr>
        <w:t>小型</w:t>
      </w:r>
      <w:r>
        <w:rPr>
          <w:rFonts w:ascii="Calibri" w:hAnsi="Calibri" w:eastAsia="宋体" w:cs="宋体"/>
          <w:kern w:val="0"/>
          <w:szCs w:val="21"/>
          <w:u w:val="single"/>
        </w:rPr>
        <w:t>/</w:t>
      </w:r>
      <w:r>
        <w:rPr>
          <w:rFonts w:ascii="宋体" w:hAnsi="宋体" w:eastAsia="宋体" w:cs="宋体"/>
          <w:kern w:val="0"/>
          <w:szCs w:val="21"/>
          <w:u w:val="single"/>
        </w:rPr>
        <w:t>微型”）</w:t>
      </w:r>
      <w:r>
        <w:rPr>
          <w:rFonts w:ascii="宋体" w:hAnsi="宋体" w:eastAsia="宋体" w:cs="宋体"/>
          <w:kern w:val="0"/>
          <w:szCs w:val="21"/>
        </w:rPr>
        <w:t>企业。即本投标人同时满足以下条件：</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1、根据《工业和信息化部、国家统计局、国家发展和改革委员会、财政部关于印发中小企业划型标准规定的通知》（工信部联企业</w:t>
      </w:r>
      <w:r>
        <w:rPr>
          <w:rFonts w:ascii="Calibri" w:hAnsi="Calibri" w:eastAsia="宋体" w:cs="宋体"/>
          <w:kern w:val="0"/>
          <w:szCs w:val="21"/>
        </w:rPr>
        <w:t>[2011]300</w:t>
      </w:r>
      <w:r>
        <w:rPr>
          <w:rFonts w:ascii="宋体" w:hAnsi="宋体" w:eastAsia="宋体" w:cs="宋体"/>
          <w:kern w:val="0"/>
          <w:szCs w:val="21"/>
        </w:rPr>
        <w:t>号）规定的划分标准，本投标人为</w:t>
      </w:r>
      <w:r>
        <w:rPr>
          <w:rFonts w:ascii="宋体" w:hAnsi="宋体" w:eastAsia="宋体" w:cs="宋体"/>
          <w:kern w:val="0"/>
          <w:szCs w:val="21"/>
          <w:u w:val="single"/>
        </w:rPr>
        <w:t>  （填写“中型</w:t>
      </w:r>
      <w:r>
        <w:rPr>
          <w:rFonts w:ascii="Calibri" w:hAnsi="Calibri" w:eastAsia="宋体" w:cs="宋体"/>
          <w:kern w:val="0"/>
          <w:szCs w:val="21"/>
          <w:u w:val="single"/>
        </w:rPr>
        <w:t>/</w:t>
      </w:r>
      <w:r>
        <w:rPr>
          <w:rFonts w:ascii="宋体" w:hAnsi="宋体" w:eastAsia="宋体" w:cs="宋体"/>
          <w:kern w:val="0"/>
          <w:szCs w:val="21"/>
          <w:u w:val="single"/>
        </w:rPr>
        <w:t>小型</w:t>
      </w:r>
      <w:r>
        <w:rPr>
          <w:rFonts w:ascii="Calibri" w:hAnsi="Calibri" w:eastAsia="宋体" w:cs="宋体"/>
          <w:kern w:val="0"/>
          <w:szCs w:val="21"/>
          <w:u w:val="single"/>
        </w:rPr>
        <w:t>/</w:t>
      </w:r>
      <w:r>
        <w:rPr>
          <w:rFonts w:ascii="宋体" w:hAnsi="宋体" w:eastAsia="宋体" w:cs="宋体"/>
          <w:kern w:val="0"/>
          <w:szCs w:val="21"/>
          <w:u w:val="single"/>
        </w:rPr>
        <w:t>微型”）</w:t>
      </w:r>
      <w:r>
        <w:rPr>
          <w:rFonts w:ascii="宋体" w:hAnsi="宋体" w:eastAsia="宋体" w:cs="宋体"/>
          <w:kern w:val="0"/>
          <w:szCs w:val="21"/>
        </w:rPr>
        <w:t>企业。</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2、本投标人参加贵单位组织的</w:t>
      </w:r>
      <w:r>
        <w:rPr>
          <w:rFonts w:ascii="宋体" w:hAnsi="宋体" w:eastAsia="宋体" w:cs="宋体"/>
          <w:kern w:val="0"/>
          <w:szCs w:val="21"/>
          <w:u w:val="single"/>
        </w:rPr>
        <w:t xml:space="preserve"> （填写“项目名称”） </w:t>
      </w:r>
      <w:r>
        <w:rPr>
          <w:rFonts w:ascii="宋体" w:hAnsi="宋体" w:eastAsia="宋体" w:cs="宋体"/>
          <w:kern w:val="0"/>
          <w:szCs w:val="21"/>
        </w:rPr>
        <w:t>项目采购活动，其中：</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①</w:t>
      </w:r>
      <w:r>
        <w:rPr>
          <w:rFonts w:ascii="宋体" w:hAnsi="宋体" w:eastAsia="宋体" w:cs="宋体"/>
          <w:kern w:val="0"/>
          <w:szCs w:val="21"/>
        </w:rPr>
        <w:t>货物（不包括使用大型企业注册商标的货物）：</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）提供本投标人制造的</w:t>
      </w:r>
      <w:r>
        <w:rPr>
          <w:rFonts w:ascii="宋体" w:hAnsi="宋体" w:eastAsia="宋体" w:cs="宋体"/>
          <w:kern w:val="0"/>
          <w:szCs w:val="21"/>
          <w:u w:val="single"/>
        </w:rPr>
        <w:t>（填写“所投合同包、品目号”）</w:t>
      </w:r>
      <w:r>
        <w:rPr>
          <w:rFonts w:ascii="宋体" w:hAnsi="宋体" w:eastAsia="宋体" w:cs="宋体"/>
          <w:kern w:val="0"/>
          <w:szCs w:val="21"/>
        </w:rPr>
        <w:t>货物；或</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）提供其他</w:t>
      </w:r>
      <w:r>
        <w:rPr>
          <w:rFonts w:ascii="宋体" w:hAnsi="宋体" w:eastAsia="宋体" w:cs="宋体"/>
          <w:kern w:val="0"/>
          <w:szCs w:val="21"/>
          <w:u w:val="single"/>
        </w:rPr>
        <w:t>（填写“中型</w:t>
      </w:r>
      <w:r>
        <w:rPr>
          <w:rFonts w:ascii="Calibri" w:hAnsi="Calibri" w:eastAsia="宋体" w:cs="宋体"/>
          <w:kern w:val="0"/>
          <w:szCs w:val="21"/>
          <w:u w:val="single"/>
        </w:rPr>
        <w:t>/</w:t>
      </w:r>
      <w:r>
        <w:rPr>
          <w:rFonts w:ascii="宋体" w:hAnsi="宋体" w:eastAsia="宋体" w:cs="宋体"/>
          <w:kern w:val="0"/>
          <w:szCs w:val="21"/>
          <w:u w:val="single"/>
        </w:rPr>
        <w:t>小型</w:t>
      </w:r>
      <w:r>
        <w:rPr>
          <w:rFonts w:ascii="Calibri" w:hAnsi="Calibri" w:eastAsia="宋体" w:cs="宋体"/>
          <w:kern w:val="0"/>
          <w:szCs w:val="21"/>
          <w:u w:val="single"/>
        </w:rPr>
        <w:t>/</w:t>
      </w:r>
      <w:r>
        <w:rPr>
          <w:rFonts w:ascii="宋体" w:hAnsi="宋体" w:eastAsia="宋体" w:cs="宋体"/>
          <w:kern w:val="0"/>
          <w:szCs w:val="21"/>
          <w:u w:val="single"/>
        </w:rPr>
        <w:t>微型”）</w:t>
      </w:r>
      <w:r>
        <w:rPr>
          <w:rFonts w:ascii="宋体" w:hAnsi="宋体" w:eastAsia="宋体" w:cs="宋体"/>
          <w:kern w:val="0"/>
          <w:szCs w:val="21"/>
        </w:rPr>
        <w:t>企业制造的</w:t>
      </w:r>
      <w:r>
        <w:rPr>
          <w:rFonts w:ascii="宋体" w:hAnsi="宋体" w:eastAsia="宋体" w:cs="宋体"/>
          <w:kern w:val="0"/>
          <w:szCs w:val="21"/>
          <w:u w:val="single"/>
        </w:rPr>
        <w:t>（填写“所投合同包、品目号”）</w:t>
      </w:r>
      <w:r>
        <w:rPr>
          <w:rFonts w:ascii="宋体" w:hAnsi="宋体" w:eastAsia="宋体" w:cs="宋体"/>
          <w:kern w:val="0"/>
          <w:szCs w:val="21"/>
        </w:rPr>
        <w:t>货物。</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②</w:t>
      </w:r>
      <w:r>
        <w:rPr>
          <w:rFonts w:ascii="宋体" w:hAnsi="宋体" w:eastAsia="宋体" w:cs="宋体"/>
          <w:kern w:val="0"/>
          <w:szCs w:val="21"/>
        </w:rPr>
        <w:t>工程：</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）由本投标人承担的</w:t>
      </w:r>
      <w:r>
        <w:rPr>
          <w:rFonts w:ascii="宋体" w:hAnsi="宋体" w:eastAsia="宋体" w:cs="宋体"/>
          <w:kern w:val="0"/>
          <w:szCs w:val="21"/>
          <w:u w:val="single"/>
        </w:rPr>
        <w:t>（填写“所投合同包、品目号”）</w:t>
      </w:r>
      <w:r>
        <w:rPr>
          <w:rFonts w:ascii="宋体" w:hAnsi="宋体" w:eastAsia="宋体" w:cs="宋体"/>
          <w:kern w:val="0"/>
          <w:szCs w:val="21"/>
        </w:rPr>
        <w:t>工程。</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③</w:t>
      </w:r>
      <w:r>
        <w:rPr>
          <w:rFonts w:ascii="宋体" w:hAnsi="宋体" w:eastAsia="宋体" w:cs="宋体"/>
          <w:kern w:val="0"/>
          <w:szCs w:val="21"/>
        </w:rPr>
        <w:t>服务：</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）由本投标人提供的</w:t>
      </w:r>
      <w:r>
        <w:rPr>
          <w:rFonts w:ascii="宋体" w:hAnsi="宋体" w:eastAsia="宋体" w:cs="宋体"/>
          <w:kern w:val="0"/>
          <w:szCs w:val="21"/>
          <w:u w:val="single"/>
        </w:rPr>
        <w:t>（填写“所投合同包、品目号”）</w:t>
      </w:r>
      <w:r>
        <w:rPr>
          <w:rFonts w:ascii="宋体" w:hAnsi="宋体" w:eastAsia="宋体" w:cs="宋体"/>
          <w:kern w:val="0"/>
          <w:szCs w:val="21"/>
        </w:rPr>
        <w:t>服务。</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本投标人对上述声明的真实性负责。如有虚假，将依法承担相应责任。</w:t>
      </w:r>
    </w:p>
    <w:p>
      <w:pPr>
        <w:widowControl/>
        <w:spacing w:before="100" w:beforeAutospacing="1" w:after="100" w:afterAutospacing="1"/>
        <w:ind w:firstLine="420"/>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1、请投标人按照实际情况编制填写本声明函，并在相应的（）中打“√”。</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2、投标人应认真对照《工业和信息化部、国家统计局、国家发展和改革委员会、财政部关于印发中小企业划型标准规定的通知》（工信部联企业</w:t>
      </w:r>
      <w:r>
        <w:rPr>
          <w:rFonts w:ascii="Calibri" w:hAnsi="Calibri" w:eastAsia="宋体" w:cs="宋体"/>
          <w:kern w:val="0"/>
          <w:szCs w:val="21"/>
        </w:rPr>
        <w:t>[2011]300</w:t>
      </w:r>
      <w:r>
        <w:rPr>
          <w:rFonts w:ascii="宋体" w:hAnsi="宋体" w:eastAsia="宋体" w:cs="宋体"/>
          <w:kern w:val="0"/>
          <w:szCs w:val="21"/>
        </w:rPr>
        <w:t>号）规定的划分标准，并按照国家统计局现行的关于统计上大中小微型企业划分办法的有关规定准确划分企业类型。</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3、若《中小企业声明函》内容不真实，</w:t>
      </w:r>
      <w:r>
        <w:rPr>
          <w:rFonts w:ascii="宋体" w:hAnsi="宋体" w:eastAsia="宋体" w:cs="宋体"/>
          <w:b/>
          <w:bCs/>
          <w:kern w:val="0"/>
        </w:rPr>
        <w:t>视为提供虚假材料</w:t>
      </w: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4、投标人为监狱企业的，可不填写本声明函。</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5、投标人为残疾人福利性单位的，可不填写本声明函。</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6、纸质投标文件正本中的本声明函（若有）应为原件。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kern w:val="0"/>
          <w:szCs w:val="21"/>
        </w:rPr>
        <w:br w:type="textWrapping"/>
      </w:r>
      <w:r>
        <w:rPr>
          <w:rFonts w:ascii="宋体" w:hAnsi="宋体" w:eastAsia="宋体" w:cs="宋体"/>
          <w:b/>
          <w:bCs/>
          <w:kern w:val="0"/>
        </w:rPr>
        <w:t>三-2-</w:t>
      </w:r>
      <w:r>
        <w:rPr>
          <w:rFonts w:hint="eastAsia" w:ascii="宋体" w:hAnsi="宋体" w:eastAsia="宋体" w:cs="宋体"/>
          <w:b/>
          <w:bCs/>
          <w:kern w:val="0"/>
        </w:rPr>
        <w:t>③</w:t>
      </w:r>
      <w:r>
        <w:rPr>
          <w:rFonts w:ascii="宋体" w:hAnsi="宋体" w:eastAsia="宋体" w:cs="宋体"/>
          <w:b/>
          <w:bCs/>
          <w:kern w:val="0"/>
        </w:rPr>
        <w:t>小型、微型企业等证明材料（价格扣除适用，若有）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jc w:val="center"/>
        <w:outlineLvl w:val="0"/>
        <w:rPr>
          <w:rFonts w:ascii="宋体" w:hAnsi="宋体" w:eastAsia="宋体" w:cs="宋体"/>
          <w:kern w:val="0"/>
          <w:sz w:val="24"/>
          <w:szCs w:val="24"/>
        </w:rPr>
      </w:pPr>
      <w:bookmarkStart w:id="31" w:name="_Toc19513"/>
      <w:r>
        <w:rPr>
          <w:rFonts w:ascii="宋体" w:hAnsi="宋体" w:eastAsia="宋体" w:cs="宋体"/>
          <w:kern w:val="0"/>
          <w:szCs w:val="21"/>
        </w:rPr>
        <w:t>编制说明</w:t>
      </w:r>
      <w:bookmarkEnd w:id="31"/>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1、投标人应按照招标文件要求提供相应证明材料，证明材料应与《中小企业声明函》的内容相一致，否则视为《中小企业声明函》内容不真实。</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2、投标人为监狱企业的，根据其提供的由省级以上监狱管理局、戒毒管理局（含新疆生产建设兵团）出具的属于监狱企业的证明文件进行认定，监狱企业视同小型、微型企业。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3、投标人为残疾人福利性单位的，根据其提供的《残疾人福利性单位声明函》（格式附后）进行认定，残疾人福利性单位视同小型、微型企业。残疾人福利性单位属于小型、微型企业的，不重复享受政策。</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宋体"/>
          <w:kern w:val="0"/>
          <w:szCs w:val="21"/>
        </w:rPr>
        <w:br w:type="textWrapping"/>
      </w:r>
      <w:r>
        <w:rPr>
          <w:rFonts w:ascii="宋体" w:hAnsi="宋体" w:eastAsia="宋体" w:cs="宋体"/>
          <w:kern w:val="0"/>
          <w:szCs w:val="21"/>
        </w:rPr>
        <w:t>附：</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rPr>
        <w:t>残疾人福利性单位声明函（价格扣除适用，若有）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ascii="宋体" w:hAnsi="宋体" w:eastAsia="宋体" w:cs="宋体"/>
          <w:kern w:val="0"/>
          <w:szCs w:val="21"/>
          <w:u w:val="single"/>
        </w:rPr>
        <w:t>（填写“项目名称”）</w:t>
      </w:r>
      <w:r>
        <w:rPr>
          <w:rFonts w:ascii="宋体" w:hAnsi="宋体" w:eastAsia="宋体" w:cs="宋体"/>
          <w:kern w:val="0"/>
          <w:szCs w:val="21"/>
        </w:rPr>
        <w:t>项目采购活动：</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）提供本投标人制造的</w:t>
      </w:r>
      <w:r>
        <w:rPr>
          <w:rFonts w:ascii="宋体" w:hAnsi="宋体" w:eastAsia="宋体" w:cs="宋体"/>
          <w:kern w:val="0"/>
          <w:szCs w:val="21"/>
          <w:u w:val="single"/>
        </w:rPr>
        <w:t>（填写“所投合同包、品目号”）</w:t>
      </w:r>
      <w:r>
        <w:rPr>
          <w:rFonts w:ascii="宋体" w:hAnsi="宋体" w:eastAsia="宋体" w:cs="宋体"/>
          <w:kern w:val="0"/>
          <w:szCs w:val="21"/>
        </w:rPr>
        <w:t>货物，</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）由本投标人承担的</w:t>
      </w:r>
      <w:r>
        <w:rPr>
          <w:rFonts w:ascii="宋体" w:hAnsi="宋体" w:eastAsia="宋体" w:cs="宋体"/>
          <w:kern w:val="0"/>
          <w:szCs w:val="21"/>
          <w:u w:val="single"/>
        </w:rPr>
        <w:t>（填写“所投合同包、品目号”）</w:t>
      </w:r>
      <w:r>
        <w:rPr>
          <w:rFonts w:ascii="宋体" w:hAnsi="宋体" w:eastAsia="宋体" w:cs="宋体"/>
          <w:kern w:val="0"/>
          <w:szCs w:val="21"/>
        </w:rPr>
        <w:t>工程，</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）由本投标人提供的</w:t>
      </w:r>
      <w:r>
        <w:rPr>
          <w:rFonts w:ascii="宋体" w:hAnsi="宋体" w:eastAsia="宋体" w:cs="宋体"/>
          <w:kern w:val="0"/>
          <w:szCs w:val="21"/>
          <w:u w:val="single"/>
        </w:rPr>
        <w:t>（填写“所投合同包、品目号”）</w:t>
      </w:r>
      <w:r>
        <w:rPr>
          <w:rFonts w:ascii="宋体" w:hAnsi="宋体" w:eastAsia="宋体" w:cs="宋体"/>
          <w:kern w:val="0"/>
          <w:szCs w:val="21"/>
        </w:rPr>
        <w:t>服务；或</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）提供其他残疾人福利性单位制造的</w:t>
      </w:r>
      <w:r>
        <w:rPr>
          <w:rFonts w:ascii="宋体" w:hAnsi="宋体" w:eastAsia="宋体" w:cs="宋体"/>
          <w:kern w:val="0"/>
          <w:szCs w:val="21"/>
          <w:u w:val="single"/>
        </w:rPr>
        <w:t>（填写“所投合同包、品目号”）</w:t>
      </w:r>
      <w:r>
        <w:rPr>
          <w:rFonts w:ascii="宋体" w:hAnsi="宋体" w:eastAsia="宋体" w:cs="宋体"/>
          <w:kern w:val="0"/>
          <w:szCs w:val="21"/>
        </w:rPr>
        <w:t>货物（不包括使用非残疾人福利性单位注册商标的货物）。</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本投标人对上述声明的真实性负责。如有虚假，将依法承担相应责任。</w:t>
      </w:r>
    </w:p>
    <w:p>
      <w:pPr>
        <w:widowControl/>
        <w:spacing w:before="100" w:beforeAutospacing="1" w:after="100" w:afterAutospacing="1"/>
        <w:ind w:firstLine="420"/>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1、请投标人按照实际情况编制填写本声明函，并在相应的（）中打“√”。</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2、纸质投标文件正本中的本声明函（若有）应为原件。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3、若《残疾人福利性单位声明函》内容不真实，</w:t>
      </w:r>
      <w:r>
        <w:rPr>
          <w:rFonts w:ascii="宋体" w:hAnsi="宋体" w:eastAsia="宋体" w:cs="宋体"/>
          <w:b/>
          <w:bCs/>
          <w:kern w:val="0"/>
        </w:rPr>
        <w:t>视为提供虚假材料</w:t>
      </w: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4、符合财政部、民政部、中国残联文件（财库</w:t>
      </w:r>
      <w:r>
        <w:rPr>
          <w:rFonts w:ascii="Calibri" w:hAnsi="Calibri" w:eastAsia="宋体" w:cs="宋体"/>
          <w:kern w:val="0"/>
          <w:szCs w:val="21"/>
        </w:rPr>
        <w:t>[2017]141</w:t>
      </w:r>
      <w:r>
        <w:rPr>
          <w:rFonts w:ascii="宋体" w:hAnsi="宋体" w:eastAsia="宋体" w:cs="宋体"/>
          <w:kern w:val="0"/>
          <w:szCs w:val="21"/>
        </w:rPr>
        <w:t>号）规定的残疾人福利性单位提供本单位制造的货物、承担的工程或服务，或提供其他残疾人福利性单位制造的货物（不包括使用非残疾人福利性单位注册商标的货物）</w:t>
      </w:r>
      <w:r>
        <w:rPr>
          <w:rFonts w:ascii="宋体" w:hAnsi="宋体" w:eastAsia="宋体" w:cs="宋体"/>
          <w:b/>
          <w:bCs/>
          <w:kern w:val="0"/>
        </w:rPr>
        <w:t>可享受价格扣除。</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kern w:val="0"/>
          <w:szCs w:val="21"/>
        </w:rPr>
        <w:br w:type="textWrapping"/>
      </w:r>
      <w:r>
        <w:rPr>
          <w:rFonts w:ascii="宋体" w:hAnsi="宋体" w:eastAsia="宋体" w:cs="宋体"/>
          <w:b/>
          <w:bCs/>
          <w:kern w:val="0"/>
        </w:rPr>
        <w:t>三-3招标文件规定的其他价格扣除证明材料（若有）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outlineLvl w:val="0"/>
        <w:rPr>
          <w:rFonts w:ascii="宋体" w:hAnsi="宋体" w:eastAsia="宋体" w:cs="宋体"/>
          <w:kern w:val="0"/>
          <w:sz w:val="24"/>
          <w:szCs w:val="24"/>
        </w:rPr>
      </w:pPr>
      <w:bookmarkStart w:id="32" w:name="_Toc1216"/>
      <w:r>
        <w:rPr>
          <w:rFonts w:ascii="宋体" w:hAnsi="宋体" w:eastAsia="宋体" w:cs="宋体"/>
          <w:kern w:val="0"/>
          <w:szCs w:val="21"/>
        </w:rPr>
        <w:t>编制说明</w:t>
      </w:r>
      <w:bookmarkEnd w:id="32"/>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若投标人可享受招标文件规定的除</w:t>
      </w:r>
      <w:r>
        <w:rPr>
          <w:rFonts w:ascii="宋体" w:hAnsi="宋体" w:eastAsia="宋体" w:cs="宋体"/>
          <w:b/>
          <w:bCs/>
          <w:kern w:val="0"/>
        </w:rPr>
        <w:t>“节能（非强制类）、环境标志产品价格扣除”及“小型、微型企业产品等价格扣除”</w:t>
      </w:r>
      <w:r>
        <w:rPr>
          <w:rFonts w:ascii="宋体" w:hAnsi="宋体" w:eastAsia="宋体" w:cs="宋体"/>
          <w:kern w:val="0"/>
          <w:szCs w:val="21"/>
        </w:rPr>
        <w:t>外的其他价格扣除优惠，则投标人应按照招标文件要求提供相应证明材料。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kern w:val="0"/>
          <w:szCs w:val="21"/>
        </w:rPr>
        <w:br w:type="textWrapping"/>
      </w:r>
      <w:r>
        <w:rPr>
          <w:rFonts w:ascii="宋体" w:hAnsi="宋体" w:eastAsia="宋体" w:cs="宋体"/>
          <w:b/>
          <w:bCs/>
          <w:kern w:val="0"/>
        </w:rPr>
        <w:t>四、招标文件规定的加分证明材料（若有）</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rPr>
        <w:t>四-1优先类节能产品、环境标志产品加分证明材料（若有）</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rPr>
        <w:t>四-1-</w:t>
      </w:r>
      <w:r>
        <w:rPr>
          <w:rFonts w:hint="eastAsia" w:ascii="宋体" w:hAnsi="宋体" w:eastAsia="宋体" w:cs="宋体"/>
          <w:b/>
          <w:bCs/>
          <w:kern w:val="0"/>
        </w:rPr>
        <w:t>①</w:t>
      </w:r>
      <w:r>
        <w:rPr>
          <w:rFonts w:ascii="宋体" w:hAnsi="宋体" w:eastAsia="宋体" w:cs="宋体"/>
          <w:b/>
          <w:bCs/>
          <w:kern w:val="0"/>
        </w:rPr>
        <w:t>优先类节能产品、环境标志产品统计表（加分适用，若有）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招标编号：</w:t>
      </w:r>
      <w:r>
        <w:rPr>
          <w:rFonts w:ascii="宋体" w:hAnsi="宋体" w:eastAsia="宋体" w:cs="宋体"/>
          <w:kern w:val="0"/>
          <w:szCs w:val="21"/>
          <w:u w:val="single"/>
        </w:rPr>
        <w:t>                   </w:t>
      </w:r>
    </w:p>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Cs w:val="21"/>
        </w:rPr>
        <w:t>货币及单位：人民币元</w:t>
      </w:r>
    </w:p>
    <w:tbl>
      <w:tblPr>
        <w:tblStyle w:val="16"/>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219"/>
        <w:gridCol w:w="1215"/>
        <w:gridCol w:w="1209"/>
        <w:gridCol w:w="1221"/>
        <w:gridCol w:w="1209"/>
        <w:gridCol w:w="1222"/>
        <w:gridCol w:w="12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305" w:type="dxa"/>
            <w:gridSpan w:val="6"/>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合同包</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品目号</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货物名称</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单价</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（现场）</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数量</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总价</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（现场）</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*-1</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kern w:val="0"/>
                <w:szCs w:val="21"/>
              </w:rPr>
              <w:t>…</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备注</w:t>
            </w:r>
          </w:p>
        </w:tc>
        <w:tc>
          <w:tcPr>
            <w:tcW w:w="7305" w:type="dxa"/>
            <w:gridSpan w:val="6"/>
            <w:tcBorders>
              <w:top w:val="nil"/>
              <w:left w:val="nil"/>
              <w:bottom w:val="outset" w:color="auto" w:sz="6" w:space="0"/>
              <w:right w:val="outset" w:color="auto" w:sz="6" w:space="0"/>
            </w:tcBorders>
            <w:tcMar>
              <w:top w:w="0" w:type="dxa"/>
              <w:left w:w="105" w:type="dxa"/>
              <w:bottom w:w="0" w:type="dxa"/>
              <w:right w:w="105" w:type="dxa"/>
            </w:tcMa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a.合同包内属于节能、环境标志产品的报价总金额：</w:t>
            </w:r>
            <w:r>
              <w:rPr>
                <w:rFonts w:ascii="宋体" w:hAnsi="宋体" w:eastAsia="宋体" w:cs="宋体"/>
                <w:kern w:val="0"/>
                <w:szCs w:val="21"/>
                <w:u w:val="single"/>
              </w:rPr>
              <w:t>              </w:t>
            </w: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b.合同包投标总价（报价总金额）：</w:t>
            </w:r>
            <w:r>
              <w:rPr>
                <w:rFonts w:ascii="宋体" w:hAnsi="宋体" w:eastAsia="宋体" w:cs="宋体"/>
                <w:kern w:val="0"/>
                <w:szCs w:val="21"/>
                <w:u w:val="single"/>
              </w:rPr>
              <w:t>              </w:t>
            </w: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c.“合同包内属于节能、环境标志产品的报价总金额”占“合同包投标总价（报价总金额）”的比例（以</w:t>
            </w:r>
            <w:r>
              <w:rPr>
                <w:rFonts w:ascii="Calibri" w:hAnsi="Calibri" w:eastAsia="宋体" w:cs="宋体"/>
                <w:kern w:val="0"/>
                <w:szCs w:val="21"/>
              </w:rPr>
              <w:t>%</w:t>
            </w:r>
            <w:r>
              <w:rPr>
                <w:rFonts w:ascii="宋体" w:hAnsi="宋体" w:eastAsia="宋体" w:cs="宋体"/>
                <w:kern w:val="0"/>
                <w:szCs w:val="21"/>
              </w:rPr>
              <w:t>列示）：</w:t>
            </w:r>
            <w:r>
              <w:rPr>
                <w:rFonts w:ascii="宋体" w:hAnsi="宋体" w:eastAsia="宋体" w:cs="宋体"/>
                <w:kern w:val="0"/>
                <w:szCs w:val="21"/>
                <w:u w:val="single"/>
              </w:rPr>
              <w:t>              </w:t>
            </w:r>
            <w:r>
              <w:rPr>
                <w:rFonts w:ascii="宋体" w:hAnsi="宋体" w:eastAsia="宋体" w:cs="宋体"/>
                <w:kern w:val="0"/>
                <w:szCs w:val="21"/>
              </w:rPr>
              <w:t>。</w:t>
            </w:r>
          </w:p>
        </w:tc>
      </w:tr>
    </w:tbl>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1、对节能、环境标志产品计算加分时，只依据投标文件</w:t>
      </w:r>
      <w:r>
        <w:rPr>
          <w:rFonts w:ascii="宋体" w:hAnsi="宋体" w:eastAsia="宋体" w:cs="宋体"/>
          <w:b/>
          <w:bCs/>
          <w:kern w:val="0"/>
        </w:rPr>
        <w:t>“四</w:t>
      </w:r>
      <w:r>
        <w:rPr>
          <w:rFonts w:ascii="Calibri" w:hAnsi="Calibri" w:eastAsia="宋体" w:cs="宋体"/>
          <w:b/>
          <w:bCs/>
          <w:kern w:val="0"/>
        </w:rPr>
        <w:t>-1-</w:t>
      </w:r>
      <w:r>
        <w:rPr>
          <w:rFonts w:hint="eastAsia" w:ascii="宋体" w:hAnsi="宋体" w:eastAsia="宋体" w:cs="宋体"/>
          <w:b/>
          <w:bCs/>
          <w:kern w:val="0"/>
        </w:rPr>
        <w:t>②</w:t>
      </w:r>
      <w:r>
        <w:rPr>
          <w:rFonts w:ascii="宋体" w:hAnsi="宋体" w:eastAsia="宋体" w:cs="宋体"/>
          <w:b/>
          <w:bCs/>
          <w:kern w:val="0"/>
        </w:rPr>
        <w:t>优先类节能产品、环境标志产品加分证明材料（加分适用，若有）”。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2、本表以合同包为单位，不同合同包请分别填写；同一合同包请按照其品目号顺序分别填写。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3、具体统计、计算：</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3.1</w:t>
      </w:r>
      <w:r>
        <w:rPr>
          <w:rFonts w:ascii="Calibri" w:hAnsi="Calibri" w:eastAsia="宋体" w:cs="宋体"/>
          <w:kern w:val="0"/>
          <w:szCs w:val="21"/>
        </w:rPr>
        <w:t> </w:t>
      </w:r>
      <w:r>
        <w:rPr>
          <w:rFonts w:ascii="宋体" w:hAnsi="宋体" w:eastAsia="宋体" w:cs="宋体"/>
          <w:kern w:val="0"/>
          <w:szCs w:val="21"/>
        </w:rPr>
        <w:t>若节能、环境标志产品仅是构成投标产品的部件、组件或零件，则该投标产品不享受鼓励优惠政策。同一品目中各认证证书不重复计算加分。强制类节能产品不享受加分。</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3.2计算结果若除不尽，可四舍五入保留到小数点后两位。</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3.3投标人应按照招标文件要求认真统计、计算，否则评标委员会不予认定。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3.4若无节能、环境标志产品，不填写本表，否则，</w:t>
      </w:r>
      <w:r>
        <w:rPr>
          <w:rFonts w:ascii="宋体" w:hAnsi="宋体" w:eastAsia="宋体" w:cs="宋体"/>
          <w:b/>
          <w:bCs/>
          <w:kern w:val="0"/>
        </w:rPr>
        <w:t>视为提供虚假材料</w:t>
      </w: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4、纸质投标文件正本中的本表（若有）应为原件。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b/>
          <w:bCs/>
          <w:kern w:val="0"/>
          <w:szCs w:val="21"/>
        </w:rPr>
        <w:br w:type="textWrapping"/>
      </w:r>
      <w:r>
        <w:rPr>
          <w:rFonts w:ascii="宋体" w:hAnsi="宋体" w:eastAsia="宋体" w:cs="宋体"/>
          <w:b/>
          <w:bCs/>
          <w:kern w:val="0"/>
        </w:rPr>
        <w:t>四-1-</w:t>
      </w:r>
      <w:r>
        <w:rPr>
          <w:rFonts w:hint="eastAsia" w:ascii="宋体" w:hAnsi="宋体" w:eastAsia="宋体" w:cs="宋体"/>
          <w:b/>
          <w:bCs/>
          <w:kern w:val="0"/>
        </w:rPr>
        <w:t>②</w:t>
      </w:r>
      <w:r>
        <w:rPr>
          <w:rFonts w:ascii="宋体" w:hAnsi="宋体" w:eastAsia="宋体" w:cs="宋体"/>
          <w:b/>
          <w:bCs/>
          <w:kern w:val="0"/>
        </w:rPr>
        <w:t>优先类节能产品、环境标志产品证明材料（加分适用，若有）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jc w:val="center"/>
        <w:outlineLvl w:val="0"/>
        <w:rPr>
          <w:rFonts w:ascii="宋体" w:hAnsi="宋体" w:eastAsia="宋体" w:cs="宋体"/>
          <w:kern w:val="0"/>
          <w:sz w:val="24"/>
          <w:szCs w:val="24"/>
        </w:rPr>
      </w:pPr>
      <w:bookmarkStart w:id="33" w:name="_Toc31799"/>
      <w:r>
        <w:rPr>
          <w:rFonts w:ascii="宋体" w:hAnsi="宋体" w:eastAsia="宋体" w:cs="宋体"/>
          <w:kern w:val="0"/>
          <w:szCs w:val="21"/>
        </w:rPr>
        <w:t>编制说明</w:t>
      </w:r>
      <w:bookmarkEnd w:id="33"/>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除招标文件另有规定外，投标人应按照招标文件第二章（表1）第</w:t>
      </w:r>
      <w:r>
        <w:rPr>
          <w:rFonts w:ascii="Calibri" w:hAnsi="Calibri" w:eastAsia="宋体" w:cs="宋体"/>
          <w:kern w:val="0"/>
          <w:szCs w:val="21"/>
        </w:rPr>
        <w:t>13</w:t>
      </w:r>
      <w:r>
        <w:rPr>
          <w:rFonts w:ascii="宋体" w:hAnsi="宋体" w:eastAsia="宋体" w:cs="宋体"/>
          <w:kern w:val="0"/>
          <w:szCs w:val="21"/>
        </w:rPr>
        <w:t>项规定提供相应证明材料。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kern w:val="0"/>
          <w:szCs w:val="21"/>
        </w:rPr>
        <w:br w:type="textWrapping"/>
      </w:r>
      <w:r>
        <w:rPr>
          <w:rFonts w:ascii="宋体" w:hAnsi="宋体" w:eastAsia="宋体" w:cs="宋体"/>
          <w:kern w:val="0"/>
          <w:szCs w:val="21"/>
        </w:rPr>
        <w:t>四</w:t>
      </w:r>
      <w:r>
        <w:rPr>
          <w:rFonts w:ascii="宋体" w:hAnsi="宋体" w:eastAsia="宋体" w:cs="宋体"/>
          <w:b/>
          <w:bCs/>
          <w:kern w:val="0"/>
        </w:rPr>
        <w:t>-2招标文件规定的其他加分证明材料（若有）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outlineLvl w:val="0"/>
        <w:rPr>
          <w:rFonts w:ascii="宋体" w:hAnsi="宋体" w:eastAsia="宋体" w:cs="宋体"/>
          <w:kern w:val="0"/>
          <w:sz w:val="24"/>
          <w:szCs w:val="24"/>
        </w:rPr>
      </w:pPr>
      <w:bookmarkStart w:id="34" w:name="_Toc15903"/>
      <w:r>
        <w:rPr>
          <w:rFonts w:ascii="宋体" w:hAnsi="宋体" w:eastAsia="宋体" w:cs="宋体"/>
          <w:kern w:val="0"/>
          <w:szCs w:val="21"/>
        </w:rPr>
        <w:t>编制说明</w:t>
      </w:r>
      <w:bookmarkEnd w:id="34"/>
    </w:p>
    <w:p>
      <w:pPr>
        <w:widowControl/>
        <w:spacing w:before="100" w:beforeAutospacing="1" w:after="100" w:afterAutospacing="1"/>
        <w:jc w:val="center"/>
        <w:rPr>
          <w:rFonts w:ascii="宋体" w:hAnsi="宋体" w:eastAsia="宋体" w:cs="宋体"/>
          <w:kern w:val="0"/>
          <w:sz w:val="24"/>
          <w:szCs w:val="24"/>
        </w:rPr>
      </w:pP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若投标人可享受招标文件规定的除</w:t>
      </w:r>
      <w:r>
        <w:rPr>
          <w:rFonts w:ascii="宋体" w:hAnsi="宋体" w:eastAsia="宋体" w:cs="宋体"/>
          <w:b/>
          <w:bCs/>
          <w:kern w:val="0"/>
        </w:rPr>
        <w:t>“优先类节能产品、环境标志产品加分”</w:t>
      </w:r>
      <w:r>
        <w:rPr>
          <w:rFonts w:ascii="宋体" w:hAnsi="宋体" w:eastAsia="宋体" w:cs="宋体"/>
          <w:kern w:val="0"/>
          <w:szCs w:val="21"/>
        </w:rPr>
        <w:t>外的其他加分优惠，则投标人应按照招标文件要求提供相应证明材料。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outlineLvl w:val="0"/>
        <w:rPr>
          <w:rFonts w:ascii="宋体" w:hAnsi="宋体" w:eastAsia="宋体" w:cs="宋体"/>
          <w:kern w:val="0"/>
          <w:sz w:val="24"/>
          <w:szCs w:val="24"/>
        </w:rPr>
      </w:pPr>
      <w:bookmarkStart w:id="35" w:name="_Toc7475"/>
      <w:r>
        <w:rPr>
          <w:rFonts w:ascii="宋体" w:hAnsi="宋体" w:eastAsia="宋体" w:cs="宋体"/>
          <w:b/>
          <w:bCs/>
          <w:kern w:val="0"/>
          <w:sz w:val="29"/>
        </w:rPr>
        <w:t>封面格式</w:t>
      </w:r>
      <w:bookmarkEnd w:id="35"/>
    </w:p>
    <w:p>
      <w:pPr>
        <w:widowControl/>
        <w:spacing w:before="100" w:beforeAutospacing="1" w:after="100" w:afterAutospacing="1"/>
        <w:jc w:val="center"/>
        <w:rPr>
          <w:rFonts w:ascii="宋体" w:hAnsi="宋体" w:eastAsia="宋体" w:cs="宋体"/>
          <w:kern w:val="0"/>
          <w:sz w:val="84"/>
          <w:szCs w:val="84"/>
        </w:rPr>
      </w:pPr>
      <w:r>
        <w:rPr>
          <w:rFonts w:hint="eastAsia" w:ascii="宋体" w:hAnsi="宋体" w:eastAsia="宋体" w:cs="宋体"/>
          <w:b/>
          <w:bCs/>
          <w:kern w:val="0"/>
          <w:sz w:val="84"/>
          <w:szCs w:val="84"/>
        </w:rPr>
        <w:t>投标文件</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48"/>
        </w:rPr>
        <w:t>（技术商务部分）</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6"/>
          <w:u w:val="single"/>
        </w:rPr>
        <w:t>（填写正本或副本）</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rPr>
        <w:t>项目名称：</w:t>
      </w:r>
      <w:r>
        <w:rPr>
          <w:rFonts w:ascii="宋体" w:hAnsi="宋体" w:eastAsia="宋体" w:cs="宋体"/>
          <w:b/>
          <w:bCs/>
          <w:kern w:val="0"/>
          <w:sz w:val="32"/>
          <w:u w:val="single"/>
        </w:rPr>
        <w:t>（由投标人填写）</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rPr>
        <w:t>招标编号：</w:t>
      </w:r>
      <w:r>
        <w:rPr>
          <w:rFonts w:ascii="宋体" w:hAnsi="宋体" w:eastAsia="宋体" w:cs="宋体"/>
          <w:b/>
          <w:bCs/>
          <w:kern w:val="0"/>
          <w:sz w:val="32"/>
          <w:u w:val="single"/>
        </w:rPr>
        <w:t>（由投标人填写）</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rPr>
        <w:t>所投合同包：</w:t>
      </w:r>
      <w:r>
        <w:rPr>
          <w:rFonts w:ascii="宋体" w:hAnsi="宋体" w:eastAsia="宋体" w:cs="宋体"/>
          <w:b/>
          <w:bCs/>
          <w:kern w:val="0"/>
          <w:sz w:val="32"/>
          <w:u w:val="single"/>
        </w:rPr>
        <w:t>（由投标人填写）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2"/>
        </w:rPr>
        <w:t>投标人：</w:t>
      </w:r>
      <w:r>
        <w:rPr>
          <w:rFonts w:ascii="宋体" w:hAnsi="宋体" w:eastAsia="宋体" w:cs="宋体"/>
          <w:b/>
          <w:bCs/>
          <w:kern w:val="0"/>
          <w:sz w:val="32"/>
          <w:u w:val="single"/>
        </w:rPr>
        <w:t>（填写“全称”）</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2"/>
          <w:u w:val="single"/>
        </w:rPr>
        <w:t>（由投标人填写）</w:t>
      </w:r>
      <w:r>
        <w:rPr>
          <w:rFonts w:ascii="宋体" w:hAnsi="宋体" w:eastAsia="宋体" w:cs="宋体"/>
          <w:b/>
          <w:bCs/>
          <w:kern w:val="0"/>
          <w:sz w:val="32"/>
        </w:rPr>
        <w:t>年</w:t>
      </w:r>
      <w:r>
        <w:rPr>
          <w:rFonts w:ascii="宋体" w:hAnsi="宋体" w:eastAsia="宋体" w:cs="宋体"/>
          <w:b/>
          <w:bCs/>
          <w:kern w:val="0"/>
          <w:sz w:val="32"/>
          <w:u w:val="single"/>
        </w:rPr>
        <w:t>（由投标人填写）</w:t>
      </w:r>
      <w:r>
        <w:rPr>
          <w:rFonts w:ascii="宋体" w:hAnsi="宋体" w:eastAsia="宋体" w:cs="宋体"/>
          <w:b/>
          <w:bCs/>
          <w:kern w:val="0"/>
          <w:sz w:val="32"/>
        </w:rPr>
        <w:t>月</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outlineLvl w:val="0"/>
        <w:rPr>
          <w:rFonts w:ascii="宋体" w:hAnsi="宋体" w:eastAsia="宋体" w:cs="宋体"/>
          <w:kern w:val="0"/>
          <w:sz w:val="24"/>
          <w:szCs w:val="24"/>
        </w:rPr>
      </w:pPr>
      <w:bookmarkStart w:id="36" w:name="_Toc30849"/>
      <w:r>
        <w:rPr>
          <w:rFonts w:ascii="Calibri" w:hAnsi="Calibri" w:eastAsia="宋体" w:cs="宋体"/>
          <w:kern w:val="0"/>
          <w:szCs w:val="21"/>
        </w:rPr>
        <w:br w:type="textWrapping"/>
      </w:r>
      <w:r>
        <w:rPr>
          <w:rFonts w:ascii="宋体" w:hAnsi="宋体" w:eastAsia="宋体" w:cs="宋体"/>
          <w:b/>
          <w:bCs/>
          <w:kern w:val="0"/>
          <w:sz w:val="29"/>
        </w:rPr>
        <w:t>索引</w:t>
      </w:r>
      <w:bookmarkEnd w:id="36"/>
    </w:p>
    <w:p>
      <w:pPr>
        <w:widowControl/>
        <w:spacing w:before="100" w:beforeAutospacing="1" w:after="100" w:afterAutospacing="1"/>
        <w:jc w:val="left"/>
        <w:outlineLvl w:val="0"/>
        <w:rPr>
          <w:rFonts w:ascii="宋体" w:hAnsi="宋体" w:eastAsia="宋体" w:cs="宋体"/>
          <w:kern w:val="0"/>
          <w:sz w:val="24"/>
          <w:szCs w:val="24"/>
        </w:rPr>
      </w:pPr>
      <w:bookmarkStart w:id="37" w:name="_Toc2091"/>
      <w:r>
        <w:rPr>
          <w:rFonts w:ascii="宋体" w:hAnsi="宋体" w:eastAsia="宋体" w:cs="宋体"/>
          <w:kern w:val="0"/>
          <w:sz w:val="29"/>
          <w:szCs w:val="29"/>
        </w:rPr>
        <w:t>一、标的说明一览表</w:t>
      </w:r>
      <w:bookmarkEnd w:id="37"/>
    </w:p>
    <w:p>
      <w:pPr>
        <w:widowControl/>
        <w:spacing w:before="100" w:beforeAutospacing="1" w:after="100" w:afterAutospacing="1"/>
        <w:jc w:val="left"/>
        <w:outlineLvl w:val="0"/>
        <w:rPr>
          <w:rFonts w:ascii="宋体" w:hAnsi="宋体" w:eastAsia="宋体" w:cs="宋体"/>
          <w:kern w:val="0"/>
          <w:sz w:val="24"/>
          <w:szCs w:val="24"/>
        </w:rPr>
      </w:pPr>
      <w:bookmarkStart w:id="38" w:name="_Toc4830"/>
      <w:r>
        <w:rPr>
          <w:rFonts w:ascii="宋体" w:hAnsi="宋体" w:eastAsia="宋体" w:cs="宋体"/>
          <w:kern w:val="0"/>
          <w:sz w:val="29"/>
          <w:szCs w:val="29"/>
        </w:rPr>
        <w:t>二、技术和服务要求响应表</w:t>
      </w:r>
      <w:bookmarkEnd w:id="38"/>
    </w:p>
    <w:p>
      <w:pPr>
        <w:widowControl/>
        <w:spacing w:before="100" w:beforeAutospacing="1" w:after="100" w:afterAutospacing="1"/>
        <w:jc w:val="left"/>
        <w:outlineLvl w:val="0"/>
        <w:rPr>
          <w:rFonts w:ascii="宋体" w:hAnsi="宋体" w:eastAsia="宋体" w:cs="宋体"/>
          <w:kern w:val="0"/>
          <w:sz w:val="24"/>
          <w:szCs w:val="24"/>
        </w:rPr>
      </w:pPr>
      <w:bookmarkStart w:id="39" w:name="_Toc10848"/>
      <w:r>
        <w:rPr>
          <w:rFonts w:ascii="宋体" w:hAnsi="宋体" w:eastAsia="宋体" w:cs="宋体"/>
          <w:kern w:val="0"/>
          <w:sz w:val="29"/>
          <w:szCs w:val="29"/>
        </w:rPr>
        <w:t>三、商务条件响应表</w:t>
      </w:r>
      <w:bookmarkEnd w:id="39"/>
    </w:p>
    <w:p>
      <w:pPr>
        <w:widowControl/>
        <w:spacing w:before="100" w:beforeAutospacing="1" w:after="100" w:afterAutospacing="1"/>
        <w:jc w:val="left"/>
        <w:outlineLvl w:val="0"/>
        <w:rPr>
          <w:rFonts w:ascii="宋体" w:hAnsi="宋体" w:eastAsia="宋体" w:cs="宋体"/>
          <w:kern w:val="0"/>
          <w:sz w:val="24"/>
          <w:szCs w:val="24"/>
        </w:rPr>
      </w:pPr>
      <w:bookmarkStart w:id="40" w:name="_Toc20216"/>
      <w:r>
        <w:rPr>
          <w:rFonts w:ascii="宋体" w:hAnsi="宋体" w:eastAsia="宋体" w:cs="宋体"/>
          <w:kern w:val="0"/>
          <w:sz w:val="29"/>
          <w:szCs w:val="29"/>
        </w:rPr>
        <w:t>四、投标人提交的其他资料（若有）</w:t>
      </w:r>
      <w:bookmarkEnd w:id="40"/>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outlineLvl w:val="0"/>
        <w:rPr>
          <w:rFonts w:ascii="宋体" w:hAnsi="宋体" w:eastAsia="宋体" w:cs="宋体"/>
          <w:kern w:val="0"/>
          <w:sz w:val="24"/>
          <w:szCs w:val="24"/>
        </w:rPr>
      </w:pPr>
      <w:bookmarkStart w:id="41" w:name="_Toc4464"/>
      <w:bookmarkStart w:id="42" w:name="_Toc10762"/>
      <w:r>
        <w:rPr>
          <w:rFonts w:hint="eastAsia" w:ascii="宋体" w:hAnsi="宋体" w:eastAsia="宋体" w:cs="宋体"/>
          <w:kern w:val="0"/>
          <w:szCs w:val="21"/>
        </w:rPr>
        <w:t>★</w:t>
      </w:r>
      <w:r>
        <w:rPr>
          <w:rFonts w:ascii="宋体" w:hAnsi="宋体" w:eastAsia="宋体" w:cs="宋体"/>
          <w:kern w:val="0"/>
          <w:szCs w:val="21"/>
        </w:rPr>
        <w:t>注意</w:t>
      </w:r>
      <w:bookmarkEnd w:id="41"/>
      <w:bookmarkEnd w:id="42"/>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技术商务部分中不得出现报价部分的全部或部分的投标报价信息（或组成资料），否则</w:t>
      </w:r>
      <w:r>
        <w:rPr>
          <w:rFonts w:ascii="宋体" w:hAnsi="宋体" w:eastAsia="宋体" w:cs="宋体"/>
          <w:b/>
          <w:bCs/>
          <w:kern w:val="0"/>
        </w:rPr>
        <w:t>符合性审查不合格</w:t>
      </w:r>
      <w:r>
        <w:rPr>
          <w:rFonts w:ascii="宋体" w:hAnsi="宋体" w:eastAsia="宋体" w:cs="宋体"/>
          <w:kern w:val="0"/>
          <w:szCs w:val="21"/>
        </w:rPr>
        <w:t>。</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kern w:val="0"/>
          <w:szCs w:val="21"/>
        </w:rPr>
        <w:br w:type="textWrapping"/>
      </w:r>
      <w:r>
        <w:rPr>
          <w:rFonts w:ascii="宋体" w:hAnsi="宋体" w:eastAsia="宋体" w:cs="宋体"/>
          <w:b/>
          <w:bCs/>
          <w:kern w:val="0"/>
        </w:rPr>
        <w:t>一、标的说明一览表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招标编号：</w:t>
      </w:r>
      <w:r>
        <w:rPr>
          <w:rFonts w:ascii="宋体" w:hAnsi="宋体" w:eastAsia="宋体" w:cs="宋体"/>
          <w:kern w:val="0"/>
          <w:szCs w:val="21"/>
          <w:u w:val="single"/>
        </w:rPr>
        <w:t>                   </w:t>
      </w:r>
    </w:p>
    <w:tbl>
      <w:tblPr>
        <w:tblStyle w:val="16"/>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80"/>
        <w:gridCol w:w="870"/>
        <w:gridCol w:w="1665"/>
        <w:gridCol w:w="865"/>
        <w:gridCol w:w="1137"/>
        <w:gridCol w:w="1137"/>
        <w:gridCol w:w="186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合同包</w:t>
            </w:r>
          </w:p>
        </w:tc>
        <w:tc>
          <w:tcPr>
            <w:tcW w:w="85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品目号</w:t>
            </w:r>
          </w:p>
        </w:tc>
        <w:tc>
          <w:tcPr>
            <w:tcW w:w="169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投标标的</w:t>
            </w:r>
          </w:p>
        </w:tc>
        <w:tc>
          <w:tcPr>
            <w:tcW w:w="85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数量</w:t>
            </w:r>
          </w:p>
        </w:tc>
        <w:tc>
          <w:tcPr>
            <w:tcW w:w="114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规格</w:t>
            </w:r>
          </w:p>
        </w:tc>
        <w:tc>
          <w:tcPr>
            <w:tcW w:w="114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来源地</w:t>
            </w:r>
          </w:p>
        </w:tc>
        <w:tc>
          <w:tcPr>
            <w:tcW w:w="189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w:t>
            </w: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*-1</w:t>
            </w:r>
          </w:p>
        </w:tc>
        <w:tc>
          <w:tcPr>
            <w:tcW w:w="169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85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kern w:val="0"/>
                <w:szCs w:val="21"/>
              </w:rPr>
              <w:t>…</w:t>
            </w:r>
          </w:p>
        </w:tc>
        <w:tc>
          <w:tcPr>
            <w:tcW w:w="169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85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kern w:val="0"/>
                <w:szCs w:val="21"/>
              </w:rPr>
              <w:t>…</w:t>
            </w: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69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85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r>
    </w:tbl>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1、本表应按照下列规定填写：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1.1“合同包”、“品目号”、“投标标的”及“数量”应与招标文件《采购标的一览表》中的有关内容（“合同包”、“品目号”、“采购标的”及“数量”）保持一致。</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1.2“投标标的”为货物的：</w:t>
      </w:r>
      <w:r>
        <w:rPr>
          <w:rFonts w:ascii="宋体" w:hAnsi="宋体" w:eastAsia="宋体" w:cs="宋体"/>
          <w:b/>
          <w:bCs/>
          <w:kern w:val="0"/>
        </w:rPr>
        <w:t>“规格”</w:t>
      </w:r>
      <w:r>
        <w:rPr>
          <w:rFonts w:ascii="宋体" w:hAnsi="宋体" w:eastAsia="宋体" w:cs="宋体"/>
          <w:kern w:val="0"/>
          <w:szCs w:val="21"/>
        </w:rPr>
        <w:t>项下应填写货物制造厂商赋予的品牌（属于节能、环保清单产品的货物，填写的品牌名称应与清单载明的品牌名称保持一致）及具体型号。</w:t>
      </w:r>
      <w:r>
        <w:rPr>
          <w:rFonts w:ascii="宋体" w:hAnsi="宋体" w:eastAsia="宋体" w:cs="宋体"/>
          <w:b/>
          <w:bCs/>
          <w:kern w:val="0"/>
        </w:rPr>
        <w:t>“来源地”</w:t>
      </w:r>
      <w:r>
        <w:rPr>
          <w:rFonts w:ascii="宋体" w:hAnsi="宋体" w:eastAsia="宋体" w:cs="宋体"/>
          <w:kern w:val="0"/>
          <w:szCs w:val="21"/>
        </w:rPr>
        <w:t>应填写货物的原产地。</w:t>
      </w:r>
      <w:r>
        <w:rPr>
          <w:rFonts w:ascii="宋体" w:hAnsi="宋体" w:eastAsia="宋体" w:cs="宋体"/>
          <w:b/>
          <w:bCs/>
          <w:kern w:val="0"/>
        </w:rPr>
        <w:t>“备注”</w:t>
      </w:r>
      <w:r>
        <w:rPr>
          <w:rFonts w:ascii="宋体" w:hAnsi="宋体" w:eastAsia="宋体" w:cs="宋体"/>
          <w:kern w:val="0"/>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1.3“投标标的”为服务的：</w:t>
      </w:r>
      <w:r>
        <w:rPr>
          <w:rFonts w:ascii="宋体" w:hAnsi="宋体" w:eastAsia="宋体" w:cs="宋体"/>
          <w:b/>
          <w:bCs/>
          <w:kern w:val="0"/>
        </w:rPr>
        <w:t>“规格”</w:t>
      </w:r>
      <w:r>
        <w:rPr>
          <w:rFonts w:ascii="宋体" w:hAnsi="宋体" w:eastAsia="宋体" w:cs="宋体"/>
          <w:kern w:val="0"/>
          <w:szCs w:val="21"/>
        </w:rPr>
        <w:t>项下应填写服务提供者提供的服务标准及品牌（若有）。</w:t>
      </w:r>
      <w:r>
        <w:rPr>
          <w:rFonts w:ascii="宋体" w:hAnsi="宋体" w:eastAsia="宋体" w:cs="宋体"/>
          <w:b/>
          <w:bCs/>
          <w:kern w:val="0"/>
        </w:rPr>
        <w:t>“来源地”</w:t>
      </w:r>
      <w:r>
        <w:rPr>
          <w:rFonts w:ascii="宋体" w:hAnsi="宋体" w:eastAsia="宋体" w:cs="宋体"/>
          <w:kern w:val="0"/>
          <w:szCs w:val="21"/>
        </w:rPr>
        <w:t>应填写服务提供者的所在地。</w:t>
      </w:r>
      <w:r>
        <w:rPr>
          <w:rFonts w:ascii="宋体" w:hAnsi="宋体" w:eastAsia="宋体" w:cs="宋体"/>
          <w:b/>
          <w:bCs/>
          <w:kern w:val="0"/>
        </w:rPr>
        <w:t>“备注”</w:t>
      </w:r>
      <w:r>
        <w:rPr>
          <w:rFonts w:ascii="宋体" w:hAnsi="宋体" w:eastAsia="宋体" w:cs="宋体"/>
          <w:kern w:val="0"/>
          <w:szCs w:val="21"/>
        </w:rPr>
        <w:t>项下应填写关于服务标准所涵盖的具体项目或内容的说明等。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2、投标人需要说明的内容若需特殊表达，应先在本表中进行相应说明，再另页应答，否则</w:t>
      </w:r>
      <w:r>
        <w:rPr>
          <w:rFonts w:ascii="宋体" w:hAnsi="宋体" w:eastAsia="宋体" w:cs="宋体"/>
          <w:b/>
          <w:bCs/>
          <w:kern w:val="0"/>
        </w:rPr>
        <w:t>投标无效</w:t>
      </w: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3、投标文件中涉及</w:t>
      </w:r>
      <w:r>
        <w:rPr>
          <w:rFonts w:ascii="宋体" w:hAnsi="宋体" w:eastAsia="宋体" w:cs="宋体"/>
          <w:b/>
          <w:bCs/>
          <w:kern w:val="0"/>
        </w:rPr>
        <w:t>“投标标的”、“数量”、“规格”、“来源地”</w:t>
      </w:r>
      <w:r>
        <w:rPr>
          <w:rFonts w:ascii="宋体" w:hAnsi="宋体" w:eastAsia="宋体" w:cs="宋体"/>
          <w:kern w:val="0"/>
          <w:szCs w:val="21"/>
        </w:rPr>
        <w:t>的内容若不一致，</w:t>
      </w:r>
      <w:r>
        <w:rPr>
          <w:rFonts w:ascii="宋体" w:hAnsi="宋体" w:eastAsia="宋体" w:cs="宋体"/>
          <w:b/>
          <w:bCs/>
          <w:kern w:val="0"/>
        </w:rPr>
        <w:t>应以本表为准</w:t>
      </w: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4、纸质投标文件正本中的本表应为原件。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b/>
          <w:bCs/>
          <w:kern w:val="0"/>
          <w:szCs w:val="21"/>
        </w:rPr>
        <w:br w:type="textWrapping"/>
      </w:r>
      <w:r>
        <w:rPr>
          <w:rFonts w:ascii="宋体" w:hAnsi="宋体" w:eastAsia="宋体" w:cs="宋体"/>
          <w:b/>
          <w:bCs/>
          <w:kern w:val="0"/>
        </w:rPr>
        <w:t>二、技术和服务要求响应表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招标编号：</w:t>
      </w:r>
      <w:r>
        <w:rPr>
          <w:rFonts w:ascii="宋体" w:hAnsi="宋体" w:eastAsia="宋体" w:cs="宋体"/>
          <w:kern w:val="0"/>
          <w:szCs w:val="21"/>
          <w:u w:val="single"/>
        </w:rPr>
        <w:t>                   </w:t>
      </w:r>
    </w:p>
    <w:tbl>
      <w:tblPr>
        <w:tblStyle w:val="16"/>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90"/>
        <w:gridCol w:w="876"/>
        <w:gridCol w:w="2927"/>
        <w:gridCol w:w="1834"/>
        <w:gridCol w:w="18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55" w:hRule="atLeast"/>
          <w:tblCellSpacing w:w="15" w:type="dxa"/>
        </w:trPr>
        <w:tc>
          <w:tcPr>
            <w:tcW w:w="96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合同包</w:t>
            </w:r>
          </w:p>
        </w:tc>
        <w:tc>
          <w:tcPr>
            <w:tcW w:w="85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品目号</w:t>
            </w:r>
          </w:p>
        </w:tc>
        <w:tc>
          <w:tcPr>
            <w:tcW w:w="297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技术和服务要求</w:t>
            </w:r>
          </w:p>
        </w:tc>
        <w:tc>
          <w:tcPr>
            <w:tcW w:w="184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投标响应</w:t>
            </w:r>
          </w:p>
        </w:tc>
        <w:tc>
          <w:tcPr>
            <w:tcW w:w="189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w:t>
            </w: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*-1</w:t>
            </w:r>
          </w:p>
        </w:tc>
        <w:tc>
          <w:tcPr>
            <w:tcW w:w="297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84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kern w:val="0"/>
                <w:szCs w:val="21"/>
              </w:rPr>
              <w:t>…</w:t>
            </w:r>
          </w:p>
        </w:tc>
        <w:tc>
          <w:tcPr>
            <w:tcW w:w="297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84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kern w:val="0"/>
                <w:szCs w:val="21"/>
              </w:rPr>
              <w:t>…</w:t>
            </w: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97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84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1、本表应按照下列规定填写：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1.1“技术和服务要求”项下填写的内容应与招标文件第五章“技术和服务要求”的内容保持一致。</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1.2“投标响应”项下应填写具体的响应内容并与“技术和服务要求”项下填写的内容逐项对应；对“技术和服务要求”项下涉及“≥或＞”、“≤或＜”及某个区间值范围内的内容，应填写具体的数值。</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1.3“是否偏离及说明”项下应按下列规定填写：优于的，填写“正偏离”；符合的，填写“无偏离”；低于的，填写“负偏离”。</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2、投标人需要说明的内容若需特殊表达，应先在本表中进行相应说明，再    另页应答，否则</w:t>
      </w:r>
      <w:r>
        <w:rPr>
          <w:rFonts w:ascii="宋体" w:hAnsi="宋体" w:eastAsia="宋体" w:cs="宋体"/>
          <w:b/>
          <w:bCs/>
          <w:kern w:val="0"/>
        </w:rPr>
        <w:t>投标无效</w:t>
      </w: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3、纸质投标文件正本中的本表应为原件。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kern w:val="0"/>
          <w:szCs w:val="21"/>
        </w:rPr>
        <w:br w:type="textWrapping"/>
      </w:r>
      <w:r>
        <w:rPr>
          <w:rFonts w:ascii="宋体" w:hAnsi="宋体" w:eastAsia="宋体" w:cs="宋体"/>
          <w:b/>
          <w:bCs/>
          <w:kern w:val="0"/>
        </w:rPr>
        <w:t>三、商务条件响应表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招标编号：</w:t>
      </w:r>
      <w:r>
        <w:rPr>
          <w:rFonts w:ascii="宋体" w:hAnsi="宋体" w:eastAsia="宋体" w:cs="宋体"/>
          <w:kern w:val="0"/>
          <w:szCs w:val="21"/>
          <w:u w:val="single"/>
        </w:rPr>
        <w:t>                   </w:t>
      </w:r>
    </w:p>
    <w:tbl>
      <w:tblPr>
        <w:tblStyle w:val="16"/>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90"/>
        <w:gridCol w:w="876"/>
        <w:gridCol w:w="2927"/>
        <w:gridCol w:w="1834"/>
        <w:gridCol w:w="18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合同包</w:t>
            </w:r>
          </w:p>
        </w:tc>
        <w:tc>
          <w:tcPr>
            <w:tcW w:w="85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品目号</w:t>
            </w:r>
          </w:p>
        </w:tc>
        <w:tc>
          <w:tcPr>
            <w:tcW w:w="297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商务条件</w:t>
            </w:r>
          </w:p>
        </w:tc>
        <w:tc>
          <w:tcPr>
            <w:tcW w:w="184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投标响应</w:t>
            </w:r>
          </w:p>
        </w:tc>
        <w:tc>
          <w:tcPr>
            <w:tcW w:w="189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w:t>
            </w: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*-1</w:t>
            </w:r>
          </w:p>
        </w:tc>
        <w:tc>
          <w:tcPr>
            <w:tcW w:w="297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84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kern w:val="0"/>
                <w:szCs w:val="21"/>
              </w:rPr>
              <w:t>…</w:t>
            </w:r>
          </w:p>
        </w:tc>
        <w:tc>
          <w:tcPr>
            <w:tcW w:w="297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84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kern w:val="0"/>
                <w:szCs w:val="21"/>
              </w:rPr>
              <w:t>…</w:t>
            </w: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97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84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1、本表应按照下列规定填写：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1.1“商务条件”项下填写的内容应与招标文件第五章“商务条件”的内容保持一致。</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1.2“投标响应”项下应填写具体的响应内容并与“商务条件”项下填写的内容逐项对应；对“商务条件”项下涉及“≥或＞”、“≤或＜”及某个区间值范围内的内容，应填写具体的数值。</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1.3“是否偏离及说明”项下应按下列规定填写：优于的，填写“正偏离”；符合的，填写“无偏离”；低于的，填写“负偏离”。</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2、投标人需要说明的内容若需特殊表达，应先在本表中进行相应说明，再另页应答，否则</w:t>
      </w:r>
      <w:r>
        <w:rPr>
          <w:rFonts w:ascii="宋体" w:hAnsi="宋体" w:eastAsia="宋体" w:cs="宋体"/>
          <w:b/>
          <w:bCs/>
          <w:kern w:val="0"/>
        </w:rPr>
        <w:t>投标无效</w:t>
      </w: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3、纸质投标文件正本中的本表应为原件。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br w:type="textWrapping"/>
      </w:r>
      <w:r>
        <w:rPr>
          <w:rFonts w:ascii="宋体" w:hAnsi="宋体" w:eastAsia="宋体" w:cs="宋体"/>
          <w:b/>
          <w:bCs/>
          <w:kern w:val="0"/>
        </w:rPr>
        <w:t>四、投标人提交的其他资料（若有）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outlineLvl w:val="0"/>
        <w:rPr>
          <w:rFonts w:ascii="宋体" w:hAnsi="宋体" w:eastAsia="宋体" w:cs="宋体"/>
          <w:kern w:val="0"/>
          <w:sz w:val="24"/>
          <w:szCs w:val="24"/>
        </w:rPr>
      </w:pPr>
      <w:bookmarkStart w:id="43" w:name="_Toc24503"/>
      <w:r>
        <w:rPr>
          <w:rFonts w:ascii="宋体" w:hAnsi="宋体" w:eastAsia="宋体" w:cs="宋体"/>
          <w:kern w:val="0"/>
          <w:szCs w:val="21"/>
        </w:rPr>
        <w:t>编制说明</w:t>
      </w:r>
      <w:bookmarkEnd w:id="43"/>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1、招标文件要求提交的除</w:t>
      </w:r>
      <w:r>
        <w:rPr>
          <w:rFonts w:ascii="宋体" w:hAnsi="宋体" w:eastAsia="宋体" w:cs="宋体"/>
          <w:b/>
          <w:bCs/>
          <w:kern w:val="0"/>
        </w:rPr>
        <w:t>“资格及资信证明部分”、“报价部分”</w:t>
      </w:r>
      <w:r>
        <w:rPr>
          <w:rFonts w:ascii="宋体" w:hAnsi="宋体" w:eastAsia="宋体" w:cs="宋体"/>
          <w:kern w:val="0"/>
          <w:szCs w:val="21"/>
        </w:rPr>
        <w:t>外的其他证明材料或资料加盖投标人的单位公章后应在此项下提交。</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2、招标文件要求投标人提供方案（包括但不限于：组织、实施、技术、服务方案等）的，投标人应在此项下提交。</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3、除招标文件另有规定外，投标人认为需要提交的其他证明材料或资料加盖投标人的单位公章后应在此项下提交。</w:t>
      </w:r>
      <w:r>
        <w:rPr>
          <w:rFonts w:ascii="Calibri" w:hAnsi="Calibri"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宋体"/>
          <w:kern w:val="0"/>
          <w:szCs w:val="2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PMingLiU">
    <w:panose1 w:val="02020500000000000000"/>
    <w:charset w:val="88"/>
    <w:family w:val="roman"/>
    <w:pitch w:val="default"/>
    <w:sig w:usb0="A00002FF" w:usb1="28CFFCFA" w:usb2="00000016" w:usb3="00000000" w:csb0="00100001" w:csb1="00000000"/>
  </w:font>
  <w:font w:name="方正中等线:..">
    <w:altName w:val="Arial Unicode MS"/>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Text Box 1" o:spid="_x0000_s1026" o:spt="202" type="#_x0000_t202" style="position:absolute;left:0pt;margin-top:0pt;height:11pt;width:9.15pt;mso-position-horizontal:center;mso-position-horizontal-relative:margin;mso-wrap-style:none;z-index:251658240;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EbfUHz4AQAAAQQAAA4AAABkcnMvZTJvRG9jLnhtbK1TwY7TMBC9I/EP&#10;lu80aRELRE1Xy1ZFSAuLtMsHOI6TWMQea+w2KV/P2EnKslz2wMUa2+M3770Zb69H07OTQq/Blny9&#10;yjlTVkKtbVvyH4+HNx8480HYWvRgVcnPyvPr3etX28EVagMd9LVCRiDWF4MreReCK7LMy04Z4Vfg&#10;lKXLBtCIQFtssxrFQOimzzZ5fpUNgLVDkMp7Ot1Pl3xGxJcAQtNoqfYgj0bZMKGi6kUgSb7TzvNd&#10;Yts0Sob7pvEqsL7kpDSklYpQXMU1221F0aJwnZYzBfESCs80GaEtFb1A7UUQ7Ij6HyijJYKHJqwk&#10;mGwSkhwhFev8mTcPnXAqaSGrvbuY7v8frPx2+o5M1zQJnFlhqOGPagzsE4xsHd0ZnC8o6cFRWhjp&#10;OGZGpd7dgfzpmYXbTthW3SDC0ClRE7v0MnvydMLxEaQavkJNZcQxQAIaGzQRkMxghE6dOV86E6nI&#10;WHJ9tcnfcSbpav324/s8dS4TxfLYoQ+fFRgWg5IjNT6Bi9OdDySDUpeUWMvCQfd9an5v/zqgxHiS&#10;yEe+E/MwVuNsRgX1mWQgTLNEP4mCDvAXZwPNUcktfRvO+i+WjIgjtwS4BNUSCCvpYckDZ1N4G6bR&#10;PDrUbUe4i9U3ZNZBJyHR1YnDzJImI+mbpziO3tN9yvrzc3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YulhTQAAAAAwEAAA8AAAAAAAAAAQAgAAAAIgAAAGRycy9kb3ducmV2LnhtbFBLAQIUABQA&#10;AAAIAIdO4kBG31B8+AEAAAEEAAAOAAAAAAAAAAEAIAAAAB8BAABkcnMvZTJvRG9jLnhtbFBLBQYA&#10;AAAABgAGAFkBAACJBQAAAAA=&#10;">
          <v:path/>
          <v:fill on="f" focussize="0,0"/>
          <v:stroke on="f" joinstyle="miter"/>
          <v:imagedata o:title=""/>
          <o:lock v:ext="edit"/>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2CB0EE"/>
    <w:multiLevelType w:val="singleLevel"/>
    <w:tmpl w:val="E92CB0EE"/>
    <w:lvl w:ilvl="0" w:tentative="0">
      <w:start w:val="1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F2A18"/>
    <w:rsid w:val="00007E74"/>
    <w:rsid w:val="00015D77"/>
    <w:rsid w:val="00017FD2"/>
    <w:rsid w:val="000329A0"/>
    <w:rsid w:val="00067B2B"/>
    <w:rsid w:val="00073D1B"/>
    <w:rsid w:val="000820C2"/>
    <w:rsid w:val="0008390F"/>
    <w:rsid w:val="000C75C1"/>
    <w:rsid w:val="000D0035"/>
    <w:rsid w:val="000E0309"/>
    <w:rsid w:val="001044FD"/>
    <w:rsid w:val="00130E1E"/>
    <w:rsid w:val="001359F8"/>
    <w:rsid w:val="001442DC"/>
    <w:rsid w:val="00150D8E"/>
    <w:rsid w:val="00150E70"/>
    <w:rsid w:val="00172F46"/>
    <w:rsid w:val="00184A3F"/>
    <w:rsid w:val="0018560B"/>
    <w:rsid w:val="0018592C"/>
    <w:rsid w:val="00187C52"/>
    <w:rsid w:val="001B47D5"/>
    <w:rsid w:val="001C11CC"/>
    <w:rsid w:val="001C7879"/>
    <w:rsid w:val="001D7B0A"/>
    <w:rsid w:val="001E1778"/>
    <w:rsid w:val="001E19D5"/>
    <w:rsid w:val="001E5A02"/>
    <w:rsid w:val="002030A4"/>
    <w:rsid w:val="00243E8B"/>
    <w:rsid w:val="002934D7"/>
    <w:rsid w:val="002D5987"/>
    <w:rsid w:val="002F7F99"/>
    <w:rsid w:val="00303978"/>
    <w:rsid w:val="003125D7"/>
    <w:rsid w:val="00324823"/>
    <w:rsid w:val="003409EF"/>
    <w:rsid w:val="00351B41"/>
    <w:rsid w:val="00360B03"/>
    <w:rsid w:val="003850F0"/>
    <w:rsid w:val="003858E0"/>
    <w:rsid w:val="003A6E75"/>
    <w:rsid w:val="003B1B58"/>
    <w:rsid w:val="003B37CA"/>
    <w:rsid w:val="003D4392"/>
    <w:rsid w:val="003F5773"/>
    <w:rsid w:val="00427BD8"/>
    <w:rsid w:val="00461AF1"/>
    <w:rsid w:val="004633EC"/>
    <w:rsid w:val="004758A9"/>
    <w:rsid w:val="004B1BEB"/>
    <w:rsid w:val="004D51C5"/>
    <w:rsid w:val="004E48C9"/>
    <w:rsid w:val="004E7717"/>
    <w:rsid w:val="004F303D"/>
    <w:rsid w:val="004F7824"/>
    <w:rsid w:val="00513A5C"/>
    <w:rsid w:val="00516C42"/>
    <w:rsid w:val="00540C47"/>
    <w:rsid w:val="0057110B"/>
    <w:rsid w:val="00577EEA"/>
    <w:rsid w:val="005805B6"/>
    <w:rsid w:val="005806F4"/>
    <w:rsid w:val="00590597"/>
    <w:rsid w:val="00593FC1"/>
    <w:rsid w:val="005C01CE"/>
    <w:rsid w:val="005F7241"/>
    <w:rsid w:val="00655E1E"/>
    <w:rsid w:val="00667F63"/>
    <w:rsid w:val="006748A2"/>
    <w:rsid w:val="00676121"/>
    <w:rsid w:val="006A0E08"/>
    <w:rsid w:val="006A18A7"/>
    <w:rsid w:val="006E3126"/>
    <w:rsid w:val="00721618"/>
    <w:rsid w:val="007273F2"/>
    <w:rsid w:val="00731026"/>
    <w:rsid w:val="00735709"/>
    <w:rsid w:val="00746BA5"/>
    <w:rsid w:val="007B1500"/>
    <w:rsid w:val="007B497B"/>
    <w:rsid w:val="007C57AC"/>
    <w:rsid w:val="007D56A5"/>
    <w:rsid w:val="0080691A"/>
    <w:rsid w:val="0083305D"/>
    <w:rsid w:val="00837EC8"/>
    <w:rsid w:val="008523D8"/>
    <w:rsid w:val="00871E92"/>
    <w:rsid w:val="00893F30"/>
    <w:rsid w:val="008A0FFD"/>
    <w:rsid w:val="008D293D"/>
    <w:rsid w:val="008D5055"/>
    <w:rsid w:val="008D5303"/>
    <w:rsid w:val="008F6E40"/>
    <w:rsid w:val="00916F71"/>
    <w:rsid w:val="00933F52"/>
    <w:rsid w:val="0099445C"/>
    <w:rsid w:val="00994DF8"/>
    <w:rsid w:val="009A0C18"/>
    <w:rsid w:val="009A7CC9"/>
    <w:rsid w:val="009B1163"/>
    <w:rsid w:val="009C49AE"/>
    <w:rsid w:val="009C508E"/>
    <w:rsid w:val="00A03AF6"/>
    <w:rsid w:val="00A2018A"/>
    <w:rsid w:val="00A44491"/>
    <w:rsid w:val="00A64FF1"/>
    <w:rsid w:val="00A6734D"/>
    <w:rsid w:val="00A835C4"/>
    <w:rsid w:val="00A85630"/>
    <w:rsid w:val="00AD2207"/>
    <w:rsid w:val="00AE4792"/>
    <w:rsid w:val="00AF18E2"/>
    <w:rsid w:val="00AF21AB"/>
    <w:rsid w:val="00B14520"/>
    <w:rsid w:val="00B43B74"/>
    <w:rsid w:val="00B4573F"/>
    <w:rsid w:val="00B80EB7"/>
    <w:rsid w:val="00B85373"/>
    <w:rsid w:val="00B9797C"/>
    <w:rsid w:val="00BA0F9D"/>
    <w:rsid w:val="00BB136C"/>
    <w:rsid w:val="00BC16D6"/>
    <w:rsid w:val="00BC5FCC"/>
    <w:rsid w:val="00BE3268"/>
    <w:rsid w:val="00BF6340"/>
    <w:rsid w:val="00BF6A7B"/>
    <w:rsid w:val="00C030B2"/>
    <w:rsid w:val="00C04E02"/>
    <w:rsid w:val="00C14312"/>
    <w:rsid w:val="00C173FA"/>
    <w:rsid w:val="00C30A2C"/>
    <w:rsid w:val="00C62094"/>
    <w:rsid w:val="00C6666A"/>
    <w:rsid w:val="00C66C5F"/>
    <w:rsid w:val="00C7447D"/>
    <w:rsid w:val="00C809B1"/>
    <w:rsid w:val="00C809BE"/>
    <w:rsid w:val="00C916AA"/>
    <w:rsid w:val="00CD2834"/>
    <w:rsid w:val="00CE14D2"/>
    <w:rsid w:val="00CF2A18"/>
    <w:rsid w:val="00D055D4"/>
    <w:rsid w:val="00D228EC"/>
    <w:rsid w:val="00D35E43"/>
    <w:rsid w:val="00D6198B"/>
    <w:rsid w:val="00D82227"/>
    <w:rsid w:val="00D9775F"/>
    <w:rsid w:val="00DB0D7F"/>
    <w:rsid w:val="00DB0DF7"/>
    <w:rsid w:val="00DB2C7B"/>
    <w:rsid w:val="00DE7D97"/>
    <w:rsid w:val="00E027ED"/>
    <w:rsid w:val="00E0679B"/>
    <w:rsid w:val="00E42EE3"/>
    <w:rsid w:val="00E52861"/>
    <w:rsid w:val="00E530BB"/>
    <w:rsid w:val="00E7747C"/>
    <w:rsid w:val="00EB6ED9"/>
    <w:rsid w:val="00EC32FD"/>
    <w:rsid w:val="00EF15B0"/>
    <w:rsid w:val="00EF3EB4"/>
    <w:rsid w:val="00F31E11"/>
    <w:rsid w:val="00F4089D"/>
    <w:rsid w:val="00F437EF"/>
    <w:rsid w:val="00F8047B"/>
    <w:rsid w:val="00FB156A"/>
    <w:rsid w:val="00FE34C8"/>
    <w:rsid w:val="0113658F"/>
    <w:rsid w:val="018925B0"/>
    <w:rsid w:val="01E34F2F"/>
    <w:rsid w:val="02490678"/>
    <w:rsid w:val="029A4693"/>
    <w:rsid w:val="02A5425E"/>
    <w:rsid w:val="02CA202C"/>
    <w:rsid w:val="02E20B07"/>
    <w:rsid w:val="03265BCE"/>
    <w:rsid w:val="032F3306"/>
    <w:rsid w:val="03BB6A33"/>
    <w:rsid w:val="047E1207"/>
    <w:rsid w:val="048C7967"/>
    <w:rsid w:val="04EF0B10"/>
    <w:rsid w:val="052B1D24"/>
    <w:rsid w:val="05825564"/>
    <w:rsid w:val="05D9167D"/>
    <w:rsid w:val="06215069"/>
    <w:rsid w:val="065A0084"/>
    <w:rsid w:val="067817B9"/>
    <w:rsid w:val="0678505B"/>
    <w:rsid w:val="06C90192"/>
    <w:rsid w:val="06E14F14"/>
    <w:rsid w:val="07BB6237"/>
    <w:rsid w:val="080F05D2"/>
    <w:rsid w:val="081D6476"/>
    <w:rsid w:val="084D0957"/>
    <w:rsid w:val="08A607B5"/>
    <w:rsid w:val="08B403DE"/>
    <w:rsid w:val="093A07B1"/>
    <w:rsid w:val="09B76FC9"/>
    <w:rsid w:val="0A626509"/>
    <w:rsid w:val="0A750012"/>
    <w:rsid w:val="0B39758D"/>
    <w:rsid w:val="0B903851"/>
    <w:rsid w:val="0BA41FAB"/>
    <w:rsid w:val="0BE24FBD"/>
    <w:rsid w:val="0BE50458"/>
    <w:rsid w:val="0CB821F8"/>
    <w:rsid w:val="0CC13C2E"/>
    <w:rsid w:val="0D5325A4"/>
    <w:rsid w:val="0DBC3D24"/>
    <w:rsid w:val="0DFC4CE1"/>
    <w:rsid w:val="0E021CF4"/>
    <w:rsid w:val="0E291470"/>
    <w:rsid w:val="0E422A02"/>
    <w:rsid w:val="0E5C7AD7"/>
    <w:rsid w:val="0E666369"/>
    <w:rsid w:val="0E9934FE"/>
    <w:rsid w:val="0F0A70BD"/>
    <w:rsid w:val="0F880759"/>
    <w:rsid w:val="0FE32078"/>
    <w:rsid w:val="1086556E"/>
    <w:rsid w:val="111B0C4A"/>
    <w:rsid w:val="11AB530F"/>
    <w:rsid w:val="120563F8"/>
    <w:rsid w:val="124B3375"/>
    <w:rsid w:val="12A67D3E"/>
    <w:rsid w:val="12DF7B34"/>
    <w:rsid w:val="13CE3022"/>
    <w:rsid w:val="14140F1D"/>
    <w:rsid w:val="144944AD"/>
    <w:rsid w:val="14A66713"/>
    <w:rsid w:val="15DA34E3"/>
    <w:rsid w:val="160F6A01"/>
    <w:rsid w:val="164D3C77"/>
    <w:rsid w:val="16913778"/>
    <w:rsid w:val="16F832B0"/>
    <w:rsid w:val="171C2351"/>
    <w:rsid w:val="174B5AF1"/>
    <w:rsid w:val="17863249"/>
    <w:rsid w:val="178D2933"/>
    <w:rsid w:val="17D64790"/>
    <w:rsid w:val="184B338D"/>
    <w:rsid w:val="18B05207"/>
    <w:rsid w:val="18C625D6"/>
    <w:rsid w:val="19784C34"/>
    <w:rsid w:val="19A47A5D"/>
    <w:rsid w:val="19A565E8"/>
    <w:rsid w:val="19D00F11"/>
    <w:rsid w:val="1A41368E"/>
    <w:rsid w:val="1A541CAB"/>
    <w:rsid w:val="1A667B46"/>
    <w:rsid w:val="1AA83EEF"/>
    <w:rsid w:val="1AD86125"/>
    <w:rsid w:val="1BE767C7"/>
    <w:rsid w:val="1C0F4D5F"/>
    <w:rsid w:val="1C527F2B"/>
    <w:rsid w:val="1C7C65DE"/>
    <w:rsid w:val="1C99638B"/>
    <w:rsid w:val="1CA81290"/>
    <w:rsid w:val="1CAF5504"/>
    <w:rsid w:val="1D224ECA"/>
    <w:rsid w:val="1D506B9B"/>
    <w:rsid w:val="1D5747FE"/>
    <w:rsid w:val="1DAD0EC3"/>
    <w:rsid w:val="1DDC773F"/>
    <w:rsid w:val="1E5E04B4"/>
    <w:rsid w:val="1E815A99"/>
    <w:rsid w:val="1F401BE1"/>
    <w:rsid w:val="1F783DA1"/>
    <w:rsid w:val="1F934AF4"/>
    <w:rsid w:val="1F982922"/>
    <w:rsid w:val="201F0DCC"/>
    <w:rsid w:val="209C00BC"/>
    <w:rsid w:val="21236C8D"/>
    <w:rsid w:val="21482F97"/>
    <w:rsid w:val="216F238A"/>
    <w:rsid w:val="21923339"/>
    <w:rsid w:val="21BE06CE"/>
    <w:rsid w:val="22286FC0"/>
    <w:rsid w:val="222E7F51"/>
    <w:rsid w:val="223249AD"/>
    <w:rsid w:val="238B57B4"/>
    <w:rsid w:val="24495E8D"/>
    <w:rsid w:val="24502C1E"/>
    <w:rsid w:val="24527584"/>
    <w:rsid w:val="246729C2"/>
    <w:rsid w:val="24935319"/>
    <w:rsid w:val="25130561"/>
    <w:rsid w:val="25BF7D3E"/>
    <w:rsid w:val="25D25333"/>
    <w:rsid w:val="25FF1520"/>
    <w:rsid w:val="262002EF"/>
    <w:rsid w:val="26C539DF"/>
    <w:rsid w:val="278D5443"/>
    <w:rsid w:val="279F6036"/>
    <w:rsid w:val="27B65CDB"/>
    <w:rsid w:val="281A76A6"/>
    <w:rsid w:val="28685BDB"/>
    <w:rsid w:val="28EC212F"/>
    <w:rsid w:val="29475C75"/>
    <w:rsid w:val="298D712F"/>
    <w:rsid w:val="29C17628"/>
    <w:rsid w:val="2A167525"/>
    <w:rsid w:val="2A2A7BD5"/>
    <w:rsid w:val="2ABF3C09"/>
    <w:rsid w:val="2AFD0C53"/>
    <w:rsid w:val="2B160C8B"/>
    <w:rsid w:val="2B1C6BB8"/>
    <w:rsid w:val="2B2F4026"/>
    <w:rsid w:val="2B523522"/>
    <w:rsid w:val="2BA728C9"/>
    <w:rsid w:val="2BD022F2"/>
    <w:rsid w:val="2C941738"/>
    <w:rsid w:val="2C945DFA"/>
    <w:rsid w:val="2CE97CE0"/>
    <w:rsid w:val="2D071CAA"/>
    <w:rsid w:val="2D7001F3"/>
    <w:rsid w:val="2D80020F"/>
    <w:rsid w:val="2E3C4AF1"/>
    <w:rsid w:val="2E5602F3"/>
    <w:rsid w:val="2E5F4E49"/>
    <w:rsid w:val="2E7B20B2"/>
    <w:rsid w:val="2E7B2D28"/>
    <w:rsid w:val="2EF225B1"/>
    <w:rsid w:val="2EFB4D4E"/>
    <w:rsid w:val="2EFC5C76"/>
    <w:rsid w:val="2F251276"/>
    <w:rsid w:val="2F2D4E38"/>
    <w:rsid w:val="2F9C3849"/>
    <w:rsid w:val="2FB44815"/>
    <w:rsid w:val="2FFF7E66"/>
    <w:rsid w:val="30104FB4"/>
    <w:rsid w:val="30253945"/>
    <w:rsid w:val="30BC6492"/>
    <w:rsid w:val="30F01250"/>
    <w:rsid w:val="31023961"/>
    <w:rsid w:val="31123B1C"/>
    <w:rsid w:val="31F43B1A"/>
    <w:rsid w:val="322E12DC"/>
    <w:rsid w:val="325C7E90"/>
    <w:rsid w:val="32C0533E"/>
    <w:rsid w:val="33AB1A1E"/>
    <w:rsid w:val="34A67BD7"/>
    <w:rsid w:val="34EC0259"/>
    <w:rsid w:val="350B417B"/>
    <w:rsid w:val="35303579"/>
    <w:rsid w:val="35342907"/>
    <w:rsid w:val="35740F5F"/>
    <w:rsid w:val="35964853"/>
    <w:rsid w:val="35992675"/>
    <w:rsid w:val="35FB2612"/>
    <w:rsid w:val="36284840"/>
    <w:rsid w:val="363A3BA5"/>
    <w:rsid w:val="36496522"/>
    <w:rsid w:val="364B5FF6"/>
    <w:rsid w:val="378A2481"/>
    <w:rsid w:val="37BD229A"/>
    <w:rsid w:val="382D64F6"/>
    <w:rsid w:val="3893441E"/>
    <w:rsid w:val="38F716ED"/>
    <w:rsid w:val="39013054"/>
    <w:rsid w:val="39174A67"/>
    <w:rsid w:val="39755B21"/>
    <w:rsid w:val="39903414"/>
    <w:rsid w:val="3A0E5C6A"/>
    <w:rsid w:val="3A206A7E"/>
    <w:rsid w:val="3A3421A4"/>
    <w:rsid w:val="3A3B44CC"/>
    <w:rsid w:val="3AC46552"/>
    <w:rsid w:val="3AE4373C"/>
    <w:rsid w:val="3B6A7EED"/>
    <w:rsid w:val="3B9D0D4F"/>
    <w:rsid w:val="3BA5625C"/>
    <w:rsid w:val="3BBE0BC3"/>
    <w:rsid w:val="3BF31926"/>
    <w:rsid w:val="3C413718"/>
    <w:rsid w:val="3C601212"/>
    <w:rsid w:val="3C973CD1"/>
    <w:rsid w:val="3CEE0ECB"/>
    <w:rsid w:val="3D263D15"/>
    <w:rsid w:val="3D421150"/>
    <w:rsid w:val="3D7478E0"/>
    <w:rsid w:val="3D9913C3"/>
    <w:rsid w:val="3DC80B53"/>
    <w:rsid w:val="3DFF2BE7"/>
    <w:rsid w:val="3E580DF7"/>
    <w:rsid w:val="3E614BF2"/>
    <w:rsid w:val="3ED6747E"/>
    <w:rsid w:val="3EF907C7"/>
    <w:rsid w:val="3F56419E"/>
    <w:rsid w:val="407819A5"/>
    <w:rsid w:val="408C36A2"/>
    <w:rsid w:val="40AB153B"/>
    <w:rsid w:val="40E9163F"/>
    <w:rsid w:val="41213DE1"/>
    <w:rsid w:val="41571238"/>
    <w:rsid w:val="417D5C6E"/>
    <w:rsid w:val="420446B2"/>
    <w:rsid w:val="420C0A22"/>
    <w:rsid w:val="421E1592"/>
    <w:rsid w:val="4275774D"/>
    <w:rsid w:val="429F0B75"/>
    <w:rsid w:val="42B43284"/>
    <w:rsid w:val="42F278F5"/>
    <w:rsid w:val="43DD5834"/>
    <w:rsid w:val="44046D6B"/>
    <w:rsid w:val="440C7EF7"/>
    <w:rsid w:val="441A6E16"/>
    <w:rsid w:val="447C0CB9"/>
    <w:rsid w:val="449C5415"/>
    <w:rsid w:val="44B260E9"/>
    <w:rsid w:val="451C3E54"/>
    <w:rsid w:val="456F58D2"/>
    <w:rsid w:val="45A47500"/>
    <w:rsid w:val="46847447"/>
    <w:rsid w:val="46995C1D"/>
    <w:rsid w:val="46E03A99"/>
    <w:rsid w:val="46F10DA3"/>
    <w:rsid w:val="47311880"/>
    <w:rsid w:val="47595EBF"/>
    <w:rsid w:val="477F186D"/>
    <w:rsid w:val="484445DA"/>
    <w:rsid w:val="486B7E5B"/>
    <w:rsid w:val="48717109"/>
    <w:rsid w:val="48AF329D"/>
    <w:rsid w:val="49155F66"/>
    <w:rsid w:val="491E20F8"/>
    <w:rsid w:val="495D7C0E"/>
    <w:rsid w:val="49941776"/>
    <w:rsid w:val="49B936FF"/>
    <w:rsid w:val="49E66E84"/>
    <w:rsid w:val="4A150E15"/>
    <w:rsid w:val="4A202565"/>
    <w:rsid w:val="4A6D25FA"/>
    <w:rsid w:val="4A775D2D"/>
    <w:rsid w:val="4A8C7B1E"/>
    <w:rsid w:val="4ABB35EB"/>
    <w:rsid w:val="4ACB27D7"/>
    <w:rsid w:val="4B04546E"/>
    <w:rsid w:val="4B6E517A"/>
    <w:rsid w:val="4BDD38D5"/>
    <w:rsid w:val="4C554301"/>
    <w:rsid w:val="4C8E4A91"/>
    <w:rsid w:val="4CDC4861"/>
    <w:rsid w:val="4CF66A91"/>
    <w:rsid w:val="4D053666"/>
    <w:rsid w:val="4D452499"/>
    <w:rsid w:val="4E2630C4"/>
    <w:rsid w:val="4E5B1BEA"/>
    <w:rsid w:val="4E9552A8"/>
    <w:rsid w:val="4EA17E4C"/>
    <w:rsid w:val="4EA27C66"/>
    <w:rsid w:val="4EA30E5C"/>
    <w:rsid w:val="4F0B2D42"/>
    <w:rsid w:val="4F20565D"/>
    <w:rsid w:val="4F4D2548"/>
    <w:rsid w:val="500D2AD0"/>
    <w:rsid w:val="50337657"/>
    <w:rsid w:val="50626E3E"/>
    <w:rsid w:val="50A963AD"/>
    <w:rsid w:val="50FD61A7"/>
    <w:rsid w:val="51741DFA"/>
    <w:rsid w:val="518A0F3C"/>
    <w:rsid w:val="51964237"/>
    <w:rsid w:val="51BA6BB6"/>
    <w:rsid w:val="52922844"/>
    <w:rsid w:val="53062F96"/>
    <w:rsid w:val="53C855A9"/>
    <w:rsid w:val="54516CE3"/>
    <w:rsid w:val="54744EF4"/>
    <w:rsid w:val="55773C79"/>
    <w:rsid w:val="55973F23"/>
    <w:rsid w:val="55F64BFC"/>
    <w:rsid w:val="563A69DD"/>
    <w:rsid w:val="569A59EE"/>
    <w:rsid w:val="57090DC7"/>
    <w:rsid w:val="573C20C1"/>
    <w:rsid w:val="57E1121C"/>
    <w:rsid w:val="58C94FD0"/>
    <w:rsid w:val="591A0F36"/>
    <w:rsid w:val="59517DFE"/>
    <w:rsid w:val="598162DA"/>
    <w:rsid w:val="5A0C235C"/>
    <w:rsid w:val="5A1D52F2"/>
    <w:rsid w:val="5B1D14AB"/>
    <w:rsid w:val="5B66293D"/>
    <w:rsid w:val="5B6933A3"/>
    <w:rsid w:val="5B81177C"/>
    <w:rsid w:val="5B832EDA"/>
    <w:rsid w:val="5BAD31A5"/>
    <w:rsid w:val="5BC733C3"/>
    <w:rsid w:val="5C0A774F"/>
    <w:rsid w:val="5C570A9A"/>
    <w:rsid w:val="5CC85065"/>
    <w:rsid w:val="5E060EBA"/>
    <w:rsid w:val="5E0D5011"/>
    <w:rsid w:val="5E2B20F5"/>
    <w:rsid w:val="5E7E743B"/>
    <w:rsid w:val="5ED2437F"/>
    <w:rsid w:val="5F5242BC"/>
    <w:rsid w:val="5F7D38D7"/>
    <w:rsid w:val="5F7F2473"/>
    <w:rsid w:val="5F8D5E48"/>
    <w:rsid w:val="5FC11E6C"/>
    <w:rsid w:val="5FD406A6"/>
    <w:rsid w:val="5FE05FD6"/>
    <w:rsid w:val="601D7A10"/>
    <w:rsid w:val="60B408FD"/>
    <w:rsid w:val="60C27182"/>
    <w:rsid w:val="60CA551D"/>
    <w:rsid w:val="60DA059D"/>
    <w:rsid w:val="60F8493C"/>
    <w:rsid w:val="61180433"/>
    <w:rsid w:val="623F6BC6"/>
    <w:rsid w:val="626A1C19"/>
    <w:rsid w:val="62873082"/>
    <w:rsid w:val="63814C15"/>
    <w:rsid w:val="63943B5D"/>
    <w:rsid w:val="63BD6137"/>
    <w:rsid w:val="63C316A6"/>
    <w:rsid w:val="63EE3701"/>
    <w:rsid w:val="64C55775"/>
    <w:rsid w:val="64D90A78"/>
    <w:rsid w:val="654A6DF7"/>
    <w:rsid w:val="65925569"/>
    <w:rsid w:val="659D3F70"/>
    <w:rsid w:val="65CE0ADF"/>
    <w:rsid w:val="666B786F"/>
    <w:rsid w:val="66A77F8E"/>
    <w:rsid w:val="66BC187A"/>
    <w:rsid w:val="66C206E6"/>
    <w:rsid w:val="671806C5"/>
    <w:rsid w:val="677E0634"/>
    <w:rsid w:val="679E2EA6"/>
    <w:rsid w:val="67F25656"/>
    <w:rsid w:val="685E26D3"/>
    <w:rsid w:val="68B96E52"/>
    <w:rsid w:val="68BB26E1"/>
    <w:rsid w:val="68DF4556"/>
    <w:rsid w:val="691D7362"/>
    <w:rsid w:val="695B2486"/>
    <w:rsid w:val="69BA3B29"/>
    <w:rsid w:val="6A050A77"/>
    <w:rsid w:val="6A3E65D4"/>
    <w:rsid w:val="6A872974"/>
    <w:rsid w:val="6A9809C2"/>
    <w:rsid w:val="6AA35492"/>
    <w:rsid w:val="6AF90FA5"/>
    <w:rsid w:val="6B1875C2"/>
    <w:rsid w:val="6B1E6834"/>
    <w:rsid w:val="6B20492F"/>
    <w:rsid w:val="6B237979"/>
    <w:rsid w:val="6B2A6A7C"/>
    <w:rsid w:val="6BC12039"/>
    <w:rsid w:val="6C6A4D34"/>
    <w:rsid w:val="6C7863C7"/>
    <w:rsid w:val="6D071524"/>
    <w:rsid w:val="6D221AF0"/>
    <w:rsid w:val="6D2C5248"/>
    <w:rsid w:val="6DE62E3A"/>
    <w:rsid w:val="6E817615"/>
    <w:rsid w:val="6F234FE3"/>
    <w:rsid w:val="6F5C5809"/>
    <w:rsid w:val="6F5F4F6C"/>
    <w:rsid w:val="6F922EBC"/>
    <w:rsid w:val="6FB8267C"/>
    <w:rsid w:val="6FD14844"/>
    <w:rsid w:val="6FEC7841"/>
    <w:rsid w:val="6FF930C9"/>
    <w:rsid w:val="700B4FAA"/>
    <w:rsid w:val="70152656"/>
    <w:rsid w:val="704022FF"/>
    <w:rsid w:val="70B34F39"/>
    <w:rsid w:val="718120D4"/>
    <w:rsid w:val="719F4A54"/>
    <w:rsid w:val="724E6E70"/>
    <w:rsid w:val="72A307DC"/>
    <w:rsid w:val="72E865CC"/>
    <w:rsid w:val="72FB696D"/>
    <w:rsid w:val="73342D3F"/>
    <w:rsid w:val="73562404"/>
    <w:rsid w:val="735D7C41"/>
    <w:rsid w:val="739C1F04"/>
    <w:rsid w:val="73B451DE"/>
    <w:rsid w:val="73C875D4"/>
    <w:rsid w:val="73D16025"/>
    <w:rsid w:val="744D30BE"/>
    <w:rsid w:val="749035B6"/>
    <w:rsid w:val="74991333"/>
    <w:rsid w:val="749B0CFE"/>
    <w:rsid w:val="752E436C"/>
    <w:rsid w:val="75B36BA5"/>
    <w:rsid w:val="75E0453A"/>
    <w:rsid w:val="763A5C86"/>
    <w:rsid w:val="76B93B31"/>
    <w:rsid w:val="76D82DCE"/>
    <w:rsid w:val="77377334"/>
    <w:rsid w:val="77824000"/>
    <w:rsid w:val="77D83BE7"/>
    <w:rsid w:val="7862757E"/>
    <w:rsid w:val="787E1FF8"/>
    <w:rsid w:val="7898303F"/>
    <w:rsid w:val="78F11868"/>
    <w:rsid w:val="79A05F55"/>
    <w:rsid w:val="79F06080"/>
    <w:rsid w:val="79FC7CD5"/>
    <w:rsid w:val="7AF87A4D"/>
    <w:rsid w:val="7B250230"/>
    <w:rsid w:val="7B295197"/>
    <w:rsid w:val="7B990374"/>
    <w:rsid w:val="7BEC7A63"/>
    <w:rsid w:val="7C11448A"/>
    <w:rsid w:val="7C484912"/>
    <w:rsid w:val="7CCD4246"/>
    <w:rsid w:val="7CD360BA"/>
    <w:rsid w:val="7CF22011"/>
    <w:rsid w:val="7D340952"/>
    <w:rsid w:val="7D3440E8"/>
    <w:rsid w:val="7D8272D7"/>
    <w:rsid w:val="7E00587A"/>
    <w:rsid w:val="7E3A53CB"/>
    <w:rsid w:val="7E5E3D00"/>
    <w:rsid w:val="7ED46D77"/>
    <w:rsid w:val="7EE06F82"/>
    <w:rsid w:val="7F373FA9"/>
    <w:rsid w:val="7F3F0BAB"/>
    <w:rsid w:val="7FA802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4"/>
    <w:basedOn w:val="1"/>
    <w:next w:val="1"/>
    <w:link w:val="23"/>
    <w:unhideWhenUsed/>
    <w:qFormat/>
    <w:uiPriority w:val="0"/>
    <w:pPr>
      <w:keepNext/>
      <w:keepLines/>
      <w:spacing w:before="280" w:after="290" w:line="376" w:lineRule="auto"/>
      <w:outlineLvl w:val="3"/>
    </w:pPr>
    <w:rPr>
      <w:rFonts w:ascii="Cambria" w:hAnsi="Cambria"/>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2"/>
    <w:basedOn w:val="1"/>
    <w:link w:val="21"/>
    <w:qFormat/>
    <w:uiPriority w:val="99"/>
    <w:pPr>
      <w:spacing w:after="120" w:line="480" w:lineRule="auto"/>
    </w:pPr>
  </w:style>
  <w:style w:type="paragraph" w:styleId="6">
    <w:name w:val="Normal Indent"/>
    <w:basedOn w:val="1"/>
    <w:qFormat/>
    <w:uiPriority w:val="0"/>
    <w:pPr>
      <w:widowControl/>
      <w:ind w:firstLine="420"/>
      <w:jc w:val="left"/>
    </w:pPr>
    <w:rPr>
      <w:kern w:val="0"/>
      <w:sz w:val="20"/>
      <w:szCs w:val="20"/>
    </w:rPr>
  </w:style>
  <w:style w:type="paragraph" w:styleId="7">
    <w:name w:val="annotation text"/>
    <w:basedOn w:val="1"/>
    <w:link w:val="24"/>
    <w:qFormat/>
    <w:uiPriority w:val="99"/>
    <w:pPr>
      <w:jc w:val="left"/>
    </w:pPr>
    <w:rPr>
      <w:szCs w:val="24"/>
    </w:rPr>
  </w:style>
  <w:style w:type="paragraph" w:styleId="8">
    <w:name w:val="Body Text"/>
    <w:basedOn w:val="1"/>
    <w:link w:val="25"/>
    <w:qFormat/>
    <w:uiPriority w:val="1"/>
    <w:rPr>
      <w:rFonts w:ascii="PMingLiU" w:hAnsi="PMingLiU" w:eastAsia="PMingLiU" w:cs="PMingLiU"/>
      <w:szCs w:val="21"/>
      <w:lang w:val="zh-CN" w:bidi="zh-CN"/>
    </w:rPr>
  </w:style>
  <w:style w:type="paragraph" w:styleId="9">
    <w:name w:val="Block Text"/>
    <w:basedOn w:val="1"/>
    <w:qFormat/>
    <w:uiPriority w:val="0"/>
    <w:pPr>
      <w:ind w:left="1440" w:leftChars="700" w:right="700" w:rightChars="700"/>
    </w:pPr>
  </w:style>
  <w:style w:type="paragraph" w:styleId="10">
    <w:name w:val="Balloon Text"/>
    <w:basedOn w:val="1"/>
    <w:link w:val="26"/>
    <w:qFormat/>
    <w:uiPriority w:val="0"/>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line="500" w:lineRule="exact"/>
    </w:pPr>
    <w:rPr>
      <w:rFonts w:ascii="宋体" w:hAnsi="宋体"/>
      <w:b/>
      <w:sz w:val="24"/>
    </w:rPr>
  </w:style>
  <w:style w:type="paragraph" w:styleId="14">
    <w:name w:val="Normal (Web)"/>
    <w:basedOn w:val="1"/>
    <w:qFormat/>
    <w:uiPriority w:val="0"/>
    <w:pPr>
      <w:spacing w:before="100" w:beforeAutospacing="1" w:after="100" w:afterAutospacing="1"/>
      <w:jc w:val="left"/>
    </w:pPr>
    <w:rPr>
      <w:rFonts w:cs="Times New Roman"/>
      <w:kern w:val="0"/>
      <w:sz w:val="24"/>
    </w:rPr>
  </w:style>
  <w:style w:type="paragraph" w:styleId="15">
    <w:name w:val="annotation subject"/>
    <w:basedOn w:val="7"/>
    <w:next w:val="7"/>
    <w:link w:val="29"/>
    <w:qFormat/>
    <w:uiPriority w:val="0"/>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b/>
    </w:rPr>
  </w:style>
  <w:style w:type="character" w:styleId="20">
    <w:name w:val="annotation reference"/>
    <w:basedOn w:val="18"/>
    <w:qFormat/>
    <w:uiPriority w:val="99"/>
    <w:rPr>
      <w:sz w:val="21"/>
      <w:szCs w:val="21"/>
    </w:rPr>
  </w:style>
  <w:style w:type="character" w:customStyle="1" w:styleId="21">
    <w:name w:val="正文文本 2 Char"/>
    <w:basedOn w:val="18"/>
    <w:link w:val="2"/>
    <w:qFormat/>
    <w:uiPriority w:val="99"/>
    <w:rPr>
      <w:kern w:val="2"/>
      <w:sz w:val="21"/>
      <w:szCs w:val="22"/>
    </w:rPr>
  </w:style>
  <w:style w:type="character" w:customStyle="1" w:styleId="22">
    <w:name w:val="标题 3 Char"/>
    <w:basedOn w:val="18"/>
    <w:link w:val="4"/>
    <w:qFormat/>
    <w:uiPriority w:val="9"/>
    <w:rPr>
      <w:rFonts w:ascii="宋体" w:hAnsi="宋体" w:eastAsia="宋体" w:cs="宋体"/>
      <w:b/>
      <w:bCs/>
      <w:kern w:val="0"/>
      <w:sz w:val="27"/>
      <w:szCs w:val="27"/>
    </w:rPr>
  </w:style>
  <w:style w:type="character" w:customStyle="1" w:styleId="23">
    <w:name w:val="标题 4 Char"/>
    <w:basedOn w:val="18"/>
    <w:link w:val="5"/>
    <w:qFormat/>
    <w:uiPriority w:val="0"/>
    <w:rPr>
      <w:rFonts w:ascii="Cambria" w:hAnsi="Cambria" w:eastAsiaTheme="minorEastAsia" w:cstheme="minorBidi"/>
      <w:b/>
      <w:bCs/>
      <w:kern w:val="2"/>
      <w:sz w:val="28"/>
      <w:szCs w:val="28"/>
    </w:rPr>
  </w:style>
  <w:style w:type="character" w:customStyle="1" w:styleId="24">
    <w:name w:val="批注文字 Char"/>
    <w:basedOn w:val="18"/>
    <w:link w:val="7"/>
    <w:qFormat/>
    <w:uiPriority w:val="99"/>
    <w:rPr>
      <w:rFonts w:asciiTheme="minorHAnsi" w:hAnsiTheme="minorHAnsi" w:eastAsiaTheme="minorEastAsia" w:cstheme="minorBidi"/>
      <w:kern w:val="2"/>
      <w:sz w:val="21"/>
      <w:szCs w:val="24"/>
    </w:rPr>
  </w:style>
  <w:style w:type="character" w:customStyle="1" w:styleId="25">
    <w:name w:val="正文文本 Char"/>
    <w:basedOn w:val="18"/>
    <w:link w:val="8"/>
    <w:qFormat/>
    <w:uiPriority w:val="1"/>
    <w:rPr>
      <w:rFonts w:ascii="PMingLiU" w:hAnsi="PMingLiU" w:eastAsia="PMingLiU" w:cs="PMingLiU"/>
      <w:kern w:val="2"/>
      <w:sz w:val="21"/>
      <w:szCs w:val="21"/>
      <w:lang w:val="zh-CN" w:bidi="zh-CN"/>
    </w:rPr>
  </w:style>
  <w:style w:type="character" w:customStyle="1" w:styleId="26">
    <w:name w:val="批注框文本 Char"/>
    <w:basedOn w:val="18"/>
    <w:link w:val="10"/>
    <w:qFormat/>
    <w:uiPriority w:val="0"/>
    <w:rPr>
      <w:rFonts w:asciiTheme="minorHAnsi" w:hAnsiTheme="minorHAnsi" w:eastAsiaTheme="minorEastAsia" w:cstheme="minorBidi"/>
      <w:kern w:val="2"/>
      <w:sz w:val="18"/>
      <w:szCs w:val="18"/>
    </w:rPr>
  </w:style>
  <w:style w:type="character" w:customStyle="1" w:styleId="27">
    <w:name w:val="页脚 Char"/>
    <w:basedOn w:val="18"/>
    <w:link w:val="11"/>
    <w:qFormat/>
    <w:uiPriority w:val="99"/>
    <w:rPr>
      <w:sz w:val="18"/>
      <w:szCs w:val="18"/>
    </w:rPr>
  </w:style>
  <w:style w:type="character" w:customStyle="1" w:styleId="28">
    <w:name w:val="页眉 Char"/>
    <w:basedOn w:val="18"/>
    <w:link w:val="12"/>
    <w:qFormat/>
    <w:uiPriority w:val="99"/>
    <w:rPr>
      <w:sz w:val="18"/>
      <w:szCs w:val="18"/>
    </w:rPr>
  </w:style>
  <w:style w:type="character" w:customStyle="1" w:styleId="29">
    <w:name w:val="批注主题 Char"/>
    <w:basedOn w:val="24"/>
    <w:link w:val="15"/>
    <w:qFormat/>
    <w:uiPriority w:val="0"/>
    <w:rPr>
      <w:rFonts w:asciiTheme="minorHAnsi" w:hAnsiTheme="minorHAnsi" w:eastAsiaTheme="minorEastAsia" w:cstheme="minorBidi"/>
      <w:b/>
      <w:bCs/>
      <w:kern w:val="2"/>
      <w:sz w:val="21"/>
      <w:szCs w:val="24"/>
    </w:rPr>
  </w:style>
  <w:style w:type="character" w:customStyle="1" w:styleId="30">
    <w:name w:val="无"/>
    <w:qFormat/>
    <w:uiPriority w:val="0"/>
  </w:style>
  <w:style w:type="paragraph" w:customStyle="1" w:styleId="31">
    <w:name w:val="Pa3"/>
    <w:basedOn w:val="1"/>
    <w:next w:val="1"/>
    <w:qFormat/>
    <w:uiPriority w:val="99"/>
    <w:pPr>
      <w:autoSpaceDE w:val="0"/>
      <w:autoSpaceDN w:val="0"/>
      <w:adjustRightInd w:val="0"/>
      <w:spacing w:line="181" w:lineRule="atLeast"/>
      <w:jc w:val="left"/>
    </w:pPr>
    <w:rPr>
      <w:rFonts w:ascii="方正中等线:.." w:hAnsi="Calibri" w:eastAsia="方正中等线:.." w:cs="Times New Roman"/>
      <w:kern w:val="0"/>
      <w:sz w:val="24"/>
    </w:rPr>
  </w:style>
  <w:style w:type="paragraph" w:customStyle="1" w:styleId="32">
    <w:name w:val="Char Char1 Char Char Char Char Char Char Char Char Char 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 w:type="paragraph" w:customStyle="1" w:styleId="33">
    <w:name w:val="WPSOffice手动目录 1"/>
    <w:qFormat/>
    <w:uiPriority w:val="0"/>
    <w:rPr>
      <w:rFonts w:ascii="Times New Roman" w:hAnsi="Times New Roman" w:eastAsia="宋体" w:cs="Times New Roman"/>
      <w:lang w:val="en-US" w:eastAsia="zh-CN" w:bidi="ar-SA"/>
    </w:rPr>
  </w:style>
  <w:style w:type="character" w:customStyle="1" w:styleId="34">
    <w:name w:val="font01"/>
    <w:basedOn w:val="18"/>
    <w:qFormat/>
    <w:uiPriority w:val="0"/>
    <w:rPr>
      <w:rFonts w:hint="eastAsia" w:ascii="宋体" w:hAnsi="宋体" w:eastAsia="宋体" w:cs="宋体"/>
      <w:color w:val="000000"/>
      <w:sz w:val="20"/>
      <w:szCs w:val="20"/>
      <w:u w:val="none"/>
    </w:rPr>
  </w:style>
  <w:style w:type="character" w:customStyle="1" w:styleId="35">
    <w:name w:val="font181"/>
    <w:basedOn w:val="18"/>
    <w:qFormat/>
    <w:uiPriority w:val="0"/>
    <w:rPr>
      <w:rFonts w:hint="eastAsia" w:ascii="宋体" w:hAnsi="宋体" w:eastAsia="宋体" w:cs="宋体"/>
      <w:b/>
      <w:color w:val="000000"/>
      <w:sz w:val="20"/>
      <w:szCs w:val="20"/>
      <w:u w:val="none"/>
    </w:rPr>
  </w:style>
  <w:style w:type="character" w:customStyle="1" w:styleId="36">
    <w:name w:val="font21"/>
    <w:basedOn w:val="18"/>
    <w:qFormat/>
    <w:uiPriority w:val="0"/>
    <w:rPr>
      <w:rFonts w:hint="eastAsia" w:ascii="宋体" w:hAnsi="宋体" w:eastAsia="宋体" w:cs="宋体"/>
      <w:color w:val="000000"/>
      <w:sz w:val="20"/>
      <w:szCs w:val="20"/>
      <w:u w:val="none"/>
    </w:rPr>
  </w:style>
  <w:style w:type="character" w:customStyle="1" w:styleId="37">
    <w:name w:val="font151"/>
    <w:basedOn w:val="18"/>
    <w:qFormat/>
    <w:uiPriority w:val="0"/>
    <w:rPr>
      <w:rFonts w:hint="default" w:ascii="Arial" w:hAnsi="Arial" w:cs="Arial"/>
      <w:color w:val="000000"/>
      <w:sz w:val="20"/>
      <w:szCs w:val="20"/>
      <w:u w:val="none"/>
    </w:rPr>
  </w:style>
  <w:style w:type="character" w:customStyle="1" w:styleId="38">
    <w:name w:val="font11"/>
    <w:basedOn w:val="18"/>
    <w:qFormat/>
    <w:uiPriority w:val="0"/>
    <w:rPr>
      <w:rFonts w:ascii="微软雅黑" w:hAnsi="微软雅黑" w:eastAsia="微软雅黑" w:cs="微软雅黑"/>
      <w:color w:val="000000"/>
      <w:sz w:val="22"/>
      <w:szCs w:val="22"/>
      <w:u w:val="none"/>
    </w:rPr>
  </w:style>
  <w:style w:type="character" w:customStyle="1" w:styleId="39">
    <w:name w:val="font141"/>
    <w:basedOn w:val="18"/>
    <w:qFormat/>
    <w:uiPriority w:val="0"/>
    <w:rPr>
      <w:rFonts w:hint="eastAsia" w:ascii="宋体" w:hAnsi="宋体" w:eastAsia="宋体" w:cs="宋体"/>
      <w:color w:val="000000"/>
      <w:sz w:val="22"/>
      <w:szCs w:val="22"/>
      <w:u w:val="none"/>
    </w:rPr>
  </w:style>
  <w:style w:type="paragraph" w:customStyle="1" w:styleId="40">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4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2">
    <w:name w:val="List Paragraph"/>
    <w:basedOn w:val="1"/>
    <w:qFormat/>
    <w:uiPriority w:val="99"/>
    <w:pPr>
      <w:ind w:firstLine="420" w:firstLineChars="200"/>
    </w:pPr>
  </w:style>
  <w:style w:type="paragraph" w:customStyle="1" w:styleId="43">
    <w:name w:val="正文内容"/>
    <w:basedOn w:val="1"/>
    <w:qFormat/>
    <w:uiPriority w:val="0"/>
    <w:pPr>
      <w:spacing w:beforeLines="50" w:afterLines="50"/>
      <w:jc w:val="left"/>
    </w:pPr>
    <w:rPr>
      <w:rFonts w:ascii="Arial" w:hAnsi="Arial"/>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101</Pages>
  <Words>10747</Words>
  <Characters>61259</Characters>
  <Lines>510</Lines>
  <Paragraphs>143</Paragraphs>
  <TotalTime>45</TotalTime>
  <ScaleCrop>false</ScaleCrop>
  <LinksUpToDate>false</LinksUpToDate>
  <CharactersWithSpaces>71863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2020-12-29T14:14:00Z</dcterms:created>
  <dc:creator>PC</dc:creator>
  <cp:lastModifiedBy>刘建泉</cp:lastModifiedBy>
  <dcterms:modified xsi:type="dcterms:W3CDTF">2021-03-31T02:04:42Z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